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napToGrid w:val="0"/>
        <w:spacing w:line="240" w:lineRule="auto"/>
        <w:ind w:firstLine="720"/>
        <w:jc w:val="center"/>
        <w:outlineLvl w:val="0"/>
        <w:rPr>
          <w:rFonts w:ascii="方正小标宋_GBK" w:hAnsi="方正小标宋_GBK" w:eastAsia="方正小标宋_GBK" w:cs="方正小标宋_GBK"/>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Cs/>
          <w:color w:val="000000" w:themeColor="text1"/>
          <w:sz w:val="36"/>
          <w:szCs w:val="36"/>
          <w14:textFill>
            <w14:solidFill>
              <w14:schemeClr w14:val="tx1"/>
            </w14:solidFill>
          </w14:textFill>
        </w:rPr>
        <w:t>2019年安徽省大学生财税技能大赛</w:t>
      </w:r>
    </w:p>
    <w:p>
      <w:pPr>
        <w:pStyle w:val="3"/>
        <w:ind w:firstLine="0" w:firstLineChars="0"/>
        <w:jc w:val="center"/>
        <w:rPr>
          <w:rFonts w:ascii="方正小标宋_GBK" w:hAnsi="方正小标宋_GBK" w:eastAsia="方正小标宋_GBK" w:cs="方正小标宋_GBK"/>
          <w:b w:val="0"/>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高职组技能</w:t>
      </w:r>
      <w: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t>赛</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规程</w:t>
      </w:r>
    </w:p>
    <w:p>
      <w:pPr>
        <w:ind w:firstLine="560"/>
      </w:pPr>
      <w:bookmarkStart w:id="40" w:name="_GoBack"/>
      <w:bookmarkEnd w:id="40"/>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一、竞赛目的</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通过本次大赛,激发学生学习财税知识兴趣、提高学生财税知识应用能力，培养和提升学生财税业务处理能力、综合素养和团队协作创新精神，树立学生依法纳税、控制财税风险的观念，展示财税专业课程教学改革与实践创新成果。</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二、报名条件及方式</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1.报名资格</w:t>
      </w:r>
    </w:p>
    <w:p>
      <w:pPr>
        <w:spacing w:line="240" w:lineRule="auto"/>
        <w:ind w:firstLine="560"/>
        <w:rPr>
          <w:rFonts w:hint="eastAsia"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参赛选手须为安徽省高职财税类专业在校生。</w:t>
      </w:r>
    </w:p>
    <w:p>
      <w:pPr>
        <w:spacing w:line="240" w:lineRule="auto"/>
        <w:ind w:firstLine="562" w:firstLineChars="0"/>
        <w:rPr>
          <w:rFonts w:hint="eastAsia" w:ascii="仿宋" w:hAnsi="仿宋" w:eastAsia="仿宋" w:cs="Arial"/>
          <w:color w:val="000000" w:themeColor="text1"/>
          <w:kern w:val="0"/>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报名通道：大赛</w:t>
      </w:r>
      <w:r>
        <w:rPr>
          <w:rFonts w:ascii="仿宋" w:hAnsi="仿宋" w:eastAsia="仿宋"/>
          <w:color w:val="000000" w:themeColor="text1"/>
          <w:szCs w:val="28"/>
          <w14:textFill>
            <w14:solidFill>
              <w14:schemeClr w14:val="tx1"/>
            </w14:solidFill>
          </w14:textFill>
        </w:rPr>
        <w:t xml:space="preserve">官网 </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2.报名要求</w:t>
      </w:r>
    </w:p>
    <w:p>
      <w:pPr>
        <w:spacing w:line="240" w:lineRule="auto"/>
        <w:ind w:firstLine="560"/>
        <w:rPr>
          <w:rFonts w:ascii="仿宋" w:hAnsi="仿宋" w:eastAsia="仿宋"/>
          <w:color w:val="FF0000"/>
        </w:rPr>
      </w:pPr>
      <w:r>
        <w:rPr>
          <w:rFonts w:hint="eastAsia" w:ascii="仿宋" w:hAnsi="仿宋" w:eastAsia="仿宋" w:cs="Arial"/>
          <w:color w:val="000000" w:themeColor="text1"/>
          <w:kern w:val="0"/>
          <w:szCs w:val="28"/>
          <w14:textFill>
            <w14:solidFill>
              <w14:schemeClr w14:val="tx1"/>
            </w14:solidFill>
          </w14:textFill>
        </w:rPr>
        <w:t>本赛项为团体赛，以校为单位组队参赛，不得跨校组队。每校限报1-2支队伍。每支参赛队伍由4名选手组成，分别担任办税员、税务主管、财务经理、税务公务员，协作完成团队比赛内容。岗位由赛前系统随机抽签定岗。每队指导老师不超过</w:t>
      </w:r>
      <w:r>
        <w:rPr>
          <w:rFonts w:ascii="仿宋" w:hAnsi="仿宋" w:eastAsia="仿宋" w:cs="Arial"/>
          <w:color w:val="000000" w:themeColor="text1"/>
          <w:kern w:val="0"/>
          <w:szCs w:val="28"/>
          <w14:textFill>
            <w14:solidFill>
              <w14:schemeClr w14:val="tx1"/>
            </w14:solidFill>
          </w14:textFill>
        </w:rPr>
        <w:t>2</w:t>
      </w:r>
      <w:r>
        <w:rPr>
          <w:rFonts w:hint="eastAsia" w:ascii="仿宋" w:hAnsi="仿宋" w:eastAsia="仿宋" w:cs="Arial"/>
          <w:color w:val="000000" w:themeColor="text1"/>
          <w:kern w:val="0"/>
          <w:szCs w:val="28"/>
          <w14:textFill>
            <w14:solidFill>
              <w14:schemeClr w14:val="tx1"/>
            </w14:solidFill>
          </w14:textFill>
        </w:rPr>
        <w:t>人</w:t>
      </w:r>
      <w:r>
        <w:rPr>
          <w:rFonts w:hint="eastAsia" w:ascii="仿宋" w:hAnsi="仿宋" w:eastAsia="仿宋" w:cs="Arial"/>
          <w:color w:val="auto"/>
          <w:kern w:val="0"/>
          <w:szCs w:val="28"/>
        </w:rPr>
        <w:t>。</w:t>
      </w:r>
      <w:r>
        <w:rPr>
          <w:rFonts w:hint="eastAsia" w:ascii="仿宋" w:hAnsi="仿宋" w:eastAsia="仿宋"/>
          <w:color w:val="auto"/>
          <w:szCs w:val="28"/>
        </w:rPr>
        <w:t>每位</w:t>
      </w:r>
      <w:r>
        <w:rPr>
          <w:rFonts w:ascii="仿宋" w:hAnsi="仿宋" w:eastAsia="仿宋"/>
          <w:color w:val="auto"/>
          <w:szCs w:val="28"/>
        </w:rPr>
        <w:t>学生只能参加一个团队的比赛，</w:t>
      </w:r>
      <w:r>
        <w:rPr>
          <w:rFonts w:hint="eastAsia" w:ascii="仿宋" w:hAnsi="仿宋" w:eastAsia="仿宋"/>
          <w:color w:val="auto"/>
        </w:rPr>
        <w:t>参赛指导教师指导项目数不超过2项</w:t>
      </w:r>
      <w:r>
        <w:rPr>
          <w:rFonts w:ascii="仿宋" w:hAnsi="仿宋" w:eastAsia="仿宋"/>
          <w:color w:val="auto"/>
        </w:rPr>
        <w:t>。</w:t>
      </w:r>
    </w:p>
    <w:p>
      <w:pPr>
        <w:spacing w:line="240" w:lineRule="auto"/>
        <w:ind w:firstLine="562"/>
        <w:rPr>
          <w:rFonts w:ascii="仿宋" w:hAnsi="仿宋" w:eastAsia="仿宋" w:cs="宋体"/>
          <w:b/>
          <w:kern w:val="0"/>
          <w:szCs w:val="28"/>
        </w:rPr>
      </w:pPr>
      <w:r>
        <w:rPr>
          <w:rFonts w:hint="eastAsia" w:ascii="仿宋" w:hAnsi="仿宋" w:eastAsia="仿宋" w:cs="宋体"/>
          <w:b/>
          <w:kern w:val="0"/>
          <w:szCs w:val="28"/>
        </w:rPr>
        <w:t>为保证竞赛公平公正，竞赛组委会、专家委员会、仲裁委员会成员及竞赛相关工作人员不得作为参赛指导教师。</w:t>
      </w:r>
    </w:p>
    <w:p>
      <w:pPr>
        <w:spacing w:line="240" w:lineRule="auto"/>
        <w:ind w:firstLine="560"/>
        <w:jc w:val="left"/>
        <w:rPr>
          <w:rFonts w:ascii="仿宋" w:hAnsi="仿宋" w:eastAsia="仿宋" w:cs="宋体"/>
          <w:b/>
          <w:kern w:val="0"/>
          <w:szCs w:val="28"/>
        </w:rPr>
      </w:pPr>
      <w:r>
        <w:rPr>
          <w:rFonts w:hint="eastAsia" w:ascii="仿宋" w:hAnsi="仿宋" w:eastAsia="仿宋" w:cs="Arial"/>
          <w:color w:val="000000" w:themeColor="text1"/>
          <w:kern w:val="0"/>
          <w:szCs w:val="28"/>
          <w14:textFill>
            <w14:solidFill>
              <w14:schemeClr w14:val="tx1"/>
            </w14:solidFill>
          </w14:textFill>
        </w:rPr>
        <w:t>领队会议时由计算机软件现场抽签确定选手岗位及组别、账号信息；每人一岗，角色一经确定，不得更换。</w:t>
      </w:r>
    </w:p>
    <w:p>
      <w:pPr>
        <w:spacing w:line="240" w:lineRule="auto"/>
        <w:ind w:firstLine="562"/>
        <w:rPr>
          <w:rFonts w:ascii="仿宋" w:hAnsi="仿宋" w:eastAsia="仿宋"/>
          <w:b/>
          <w:bCs/>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三、</w:t>
      </w:r>
      <w:r>
        <w:rPr>
          <w:rFonts w:ascii="仿宋" w:hAnsi="仿宋" w:eastAsia="仿宋"/>
          <w:b/>
          <w:bCs/>
          <w:color w:val="000000" w:themeColor="text1"/>
          <w:szCs w:val="28"/>
          <w14:textFill>
            <w14:solidFill>
              <w14:schemeClr w14:val="tx1"/>
            </w14:solidFill>
          </w14:textFill>
        </w:rPr>
        <w:t>竞赛内容</w:t>
      </w:r>
    </w:p>
    <w:p>
      <w:pPr>
        <w:pStyle w:val="5"/>
        <w:spacing w:before="0" w:after="0" w:line="240" w:lineRule="auto"/>
        <w:ind w:firstLine="562"/>
        <w:rPr>
          <w:rFonts w:ascii="仿宋" w:hAnsi="仿宋" w:eastAsia="仿宋"/>
          <w:color w:val="000000" w:themeColor="text1"/>
          <w14:textFill>
            <w14:solidFill>
              <w14:schemeClr w14:val="tx1"/>
            </w14:solidFill>
          </w14:textFill>
        </w:rPr>
      </w:pPr>
      <w:bookmarkStart w:id="0" w:name="_Toc516146520"/>
      <w:bookmarkStart w:id="1" w:name="_Toc10756"/>
      <w:r>
        <w:rPr>
          <w:rFonts w:hint="eastAsia" w:ascii="仿宋" w:hAnsi="仿宋" w:eastAsia="仿宋"/>
          <w:color w:val="000000" w:themeColor="text1"/>
          <w14:textFill>
            <w14:solidFill>
              <w14:schemeClr w14:val="tx1"/>
            </w14:solidFill>
          </w14:textFill>
        </w:rPr>
        <w:t>1.财税知识理论竞赛</w:t>
      </w:r>
      <w:bookmarkEnd w:id="0"/>
      <w:bookmarkEnd w:id="1"/>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范围：增值税、企业所得税、个人所得税、消费税、房产税、关税、城市维护建设税、契税、印花税、土地增值税、资源税、烟叶税、车船税、城镇土地使用税、车辆购置税、船舶吨税、耕地占用税等18个税种。</w:t>
      </w:r>
    </w:p>
    <w:p>
      <w:pPr>
        <w:adjustRightInd w:val="0"/>
        <w:snapToGrid w:val="0"/>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（2）形式：</w:t>
      </w:r>
    </w:p>
    <w:tbl>
      <w:tblPr>
        <w:tblStyle w:val="23"/>
        <w:tblW w:w="7151" w:type="dxa"/>
        <w:jc w:val="center"/>
        <w:tblInd w:w="0" w:type="dxa"/>
        <w:tblLayout w:type="fixed"/>
        <w:tblCellMar>
          <w:top w:w="0" w:type="dxa"/>
          <w:left w:w="108" w:type="dxa"/>
          <w:bottom w:w="0" w:type="dxa"/>
          <w:right w:w="108" w:type="dxa"/>
        </w:tblCellMar>
      </w:tblPr>
      <w:tblGrid>
        <w:gridCol w:w="1389"/>
        <w:gridCol w:w="1287"/>
        <w:gridCol w:w="1263"/>
        <w:gridCol w:w="1737"/>
        <w:gridCol w:w="1475"/>
      </w:tblGrid>
      <w:tr>
        <w:tblPrEx>
          <w:tblLayout w:type="fixed"/>
          <w:tblCellMar>
            <w:top w:w="0" w:type="dxa"/>
            <w:left w:w="108" w:type="dxa"/>
            <w:bottom w:w="0" w:type="dxa"/>
            <w:right w:w="108" w:type="dxa"/>
          </w:tblCellMar>
        </w:tblPrEx>
        <w:trPr>
          <w:trHeight w:val="330"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0" w:firstLineChars="0"/>
              <w:jc w:val="center"/>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题型</w:t>
            </w:r>
          </w:p>
        </w:tc>
        <w:tc>
          <w:tcPr>
            <w:tcW w:w="1287"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ind w:firstLine="0" w:firstLineChars="0"/>
              <w:jc w:val="center"/>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题量</w:t>
            </w:r>
          </w:p>
        </w:tc>
        <w:tc>
          <w:tcPr>
            <w:tcW w:w="1263"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ind w:firstLine="0" w:firstLineChars="0"/>
              <w:jc w:val="center"/>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总分</w:t>
            </w:r>
          </w:p>
        </w:tc>
        <w:tc>
          <w:tcPr>
            <w:tcW w:w="1737"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ind w:firstLine="0" w:firstLineChars="0"/>
              <w:jc w:val="center"/>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税种</w:t>
            </w:r>
          </w:p>
        </w:tc>
        <w:tc>
          <w:tcPr>
            <w:tcW w:w="1475"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ind w:firstLine="0" w:firstLineChars="0"/>
              <w:jc w:val="center"/>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试题占比</w:t>
            </w:r>
          </w:p>
        </w:tc>
      </w:tr>
      <w:tr>
        <w:tblPrEx>
          <w:tblLayout w:type="fixed"/>
          <w:tblCellMar>
            <w:top w:w="0" w:type="dxa"/>
            <w:left w:w="108" w:type="dxa"/>
            <w:bottom w:w="0" w:type="dxa"/>
            <w:right w:w="108" w:type="dxa"/>
          </w:tblCellMar>
        </w:tblPrEx>
        <w:trPr>
          <w:trHeight w:val="371"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单选</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30</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15</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增值税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多选</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40</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20</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企业所得税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判断</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30</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15</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个人所得税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合计</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100</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50</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消费税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房产税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资源税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契税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关税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印花税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土地增值税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城建税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城镇土地使用税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车辆购置税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车船税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征管法</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烟叶税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船舶吨税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0" w:firstLineChars="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耕地占用税</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0.5</w:t>
            </w:r>
          </w:p>
        </w:tc>
      </w:tr>
      <w:tr>
        <w:tblPrEx>
          <w:tblLayout w:type="fixed"/>
          <w:tblCellMar>
            <w:top w:w="0" w:type="dxa"/>
            <w:left w:w="108" w:type="dxa"/>
            <w:bottom w:w="0" w:type="dxa"/>
            <w:right w:w="108" w:type="dxa"/>
          </w:tblCellMar>
        </w:tblPrEx>
        <w:trPr>
          <w:trHeight w:val="270" w:hRule="atLeast"/>
          <w:jc w:val="center"/>
        </w:trPr>
        <w:tc>
          <w:tcPr>
            <w:tcW w:w="1389" w:type="dxa"/>
            <w:tcBorders>
              <w:top w:val="nil"/>
              <w:left w:val="single" w:color="auto" w:sz="4" w:space="0"/>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63"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737"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合计</w:t>
            </w:r>
          </w:p>
        </w:tc>
        <w:tc>
          <w:tcPr>
            <w:tcW w:w="1475" w:type="dxa"/>
            <w:tcBorders>
              <w:top w:val="nil"/>
              <w:left w:val="nil"/>
              <w:bottom w:val="single" w:color="auto" w:sz="4" w:space="0"/>
              <w:right w:val="single" w:color="auto" w:sz="4" w:space="0"/>
            </w:tcBorders>
            <w:vAlign w:val="center"/>
          </w:tcPr>
          <w:p>
            <w:pPr>
              <w:widowControl/>
              <w:adjustRightInd w:val="0"/>
              <w:snapToGrid w:val="0"/>
              <w:spacing w:line="460" w:lineRule="exact"/>
              <w:ind w:firstLine="420"/>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100</w:t>
            </w:r>
          </w:p>
        </w:tc>
      </w:tr>
    </w:tbl>
    <w:p>
      <w:pPr>
        <w:pStyle w:val="5"/>
        <w:spacing w:before="0" w:after="0" w:line="240" w:lineRule="auto"/>
        <w:ind w:firstLine="562"/>
        <w:rPr>
          <w:rFonts w:ascii="仿宋" w:hAnsi="仿宋" w:eastAsia="仿宋"/>
          <w:color w:val="000000" w:themeColor="text1"/>
          <w14:textFill>
            <w14:solidFill>
              <w14:schemeClr w14:val="tx1"/>
            </w14:solidFill>
          </w14:textFill>
        </w:rPr>
      </w:pPr>
      <w:bookmarkStart w:id="2" w:name="_Toc516146521"/>
      <w:bookmarkStart w:id="3" w:name="_Toc22570"/>
      <w:r>
        <w:rPr>
          <w:rFonts w:hint="eastAsia" w:ascii="仿宋" w:hAnsi="仿宋" w:eastAsia="仿宋"/>
          <w:color w:val="000000" w:themeColor="text1"/>
          <w14:textFill>
            <w14:solidFill>
              <w14:schemeClr w14:val="tx1"/>
            </w14:solidFill>
          </w14:textFill>
        </w:rPr>
        <w:t>2.税务技能竞赛</w:t>
      </w:r>
      <w:bookmarkEnd w:id="2"/>
      <w:bookmarkEnd w:id="3"/>
    </w:p>
    <w:p>
      <w:pPr>
        <w:pStyle w:val="6"/>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 办税员:</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一般纳税人增值税发票开具</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一般纳税人增值税销项数据抄报税</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增值税进项发票网上勾选认证</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一般纳税人增值税网上申报</w:t>
      </w:r>
    </w:p>
    <w:p>
      <w:pPr>
        <w:pStyle w:val="6"/>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（2）税务主管:</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一般企业查账征收企业所得税年终汇算清缴</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财务报表填写与申报</w:t>
      </w:r>
    </w:p>
    <w:p>
      <w:pPr>
        <w:pStyle w:val="6"/>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（3）财务经理:</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纳税筹划</w:t>
      </w:r>
    </w:p>
    <w:p>
      <w:pPr>
        <w:pStyle w:val="43"/>
        <w:numPr>
          <w:ilvl w:val="3"/>
          <w:numId w:val="1"/>
        </w:numPr>
        <w:ind w:firstLineChars="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个人所得税代扣代缴核算与网上申报</w:t>
      </w:r>
    </w:p>
    <w:p>
      <w:pPr>
        <w:pStyle w:val="6"/>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（4）税务公务员:</w:t>
      </w:r>
    </w:p>
    <w:p>
      <w:pPr>
        <w:pStyle w:val="43"/>
        <w:numPr>
          <w:ilvl w:val="3"/>
          <w:numId w:val="1"/>
        </w:numPr>
        <w:ind w:left="0" w:firstLine="1120" w:firstLineChars="4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纳税评估与税收风险点分析</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四、竞赛方式</w:t>
      </w:r>
    </w:p>
    <w:p>
      <w:pPr>
        <w:spacing w:line="240" w:lineRule="auto"/>
        <w:ind w:firstLine="560"/>
        <w:rPr>
          <w:rFonts w:ascii="仿宋" w:hAnsi="仿宋" w:eastAsia="仿宋" w:cs="Arial"/>
          <w:color w:val="000000" w:themeColor="text1"/>
          <w:kern w:val="0"/>
          <w:szCs w:val="28"/>
          <w14:textFill>
            <w14:solidFill>
              <w14:schemeClr w14:val="tx1"/>
            </w14:solidFill>
          </w14:textFill>
        </w:rPr>
      </w:pPr>
      <w:bookmarkStart w:id="4" w:name="_Toc516146523"/>
      <w:r>
        <w:rPr>
          <w:rFonts w:hint="eastAsia" w:ascii="仿宋" w:hAnsi="仿宋" w:eastAsia="仿宋" w:cs="Arial"/>
          <w:color w:val="000000" w:themeColor="text1"/>
          <w:kern w:val="0"/>
          <w:szCs w:val="28"/>
          <w14:textFill>
            <w14:solidFill>
              <w14:schemeClr w14:val="tx1"/>
            </w14:solidFill>
          </w14:textFill>
        </w:rPr>
        <w:t>竞赛包括理论部分和实操部分两个环节，分上下午两场进行，实操部分以团队设置竞赛台位，按岗位标注操作位置，竞赛组别由计算机软件自动抽签决定。</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五、竞赛流程</w:t>
      </w:r>
      <w:bookmarkEnd w:id="4"/>
    </w:p>
    <w:p>
      <w:pPr>
        <w:pStyle w:val="5"/>
        <w:spacing w:before="0" w:after="0" w:line="240" w:lineRule="auto"/>
        <w:ind w:firstLine="562"/>
        <w:rPr>
          <w:rFonts w:hint="eastAsia" w:ascii="仿宋" w:hAnsi="仿宋" w:eastAsia="仿宋"/>
          <w:color w:val="000000" w:themeColor="text1"/>
          <w:lang w:val="en-US" w:eastAsia="zh-CN"/>
          <w14:textFill>
            <w14:solidFill>
              <w14:schemeClr w14:val="tx1"/>
            </w14:solidFill>
          </w14:textFill>
        </w:rPr>
      </w:pPr>
      <w:bookmarkStart w:id="5" w:name="_Toc516146524"/>
      <w:bookmarkStart w:id="6" w:name="_Toc32323"/>
      <w:bookmarkStart w:id="7" w:name="_Toc516146525"/>
      <w:bookmarkStart w:id="8" w:name="_Toc441481995"/>
      <w:bookmarkStart w:id="9" w:name="_Toc3807"/>
      <w:r>
        <w:rPr>
          <w:rFonts w:hint="eastAsia" w:ascii="仿宋" w:hAnsi="仿宋" w:eastAsia="仿宋"/>
          <w:color w:val="000000" w:themeColor="text1"/>
          <w14:textFill>
            <w14:solidFill>
              <w14:schemeClr w14:val="tx1"/>
            </w14:solidFill>
          </w14:textFill>
        </w:rPr>
        <w:t>（一）初赛</w:t>
      </w:r>
      <w:bookmarkEnd w:id="5"/>
      <w:bookmarkEnd w:id="6"/>
      <w:r>
        <w:rPr>
          <w:rFonts w:hint="eastAsia" w:ascii="仿宋" w:hAnsi="仿宋" w:eastAsia="仿宋"/>
          <w:color w:val="000000" w:themeColor="text1"/>
          <w:lang w:val="en-US" w:eastAsia="zh-CN"/>
          <w14:textFill>
            <w14:solidFill>
              <w14:schemeClr w14:val="tx1"/>
            </w14:solidFill>
          </w14:textFill>
        </w:rPr>
        <w:t>流程</w:t>
      </w:r>
    </w:p>
    <w:p>
      <w:pPr>
        <w:spacing w:line="240" w:lineRule="auto"/>
        <w:ind w:firstLine="56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1.时间：2019年6月28日（9:00-10:00）</w:t>
      </w:r>
    </w:p>
    <w:p>
      <w:pPr>
        <w:pStyle w:val="43"/>
        <w:ind w:left="600"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2.比赛性质：个人赛</w:t>
      </w:r>
    </w:p>
    <w:p>
      <w:pPr>
        <w:pStyle w:val="43"/>
        <w:ind w:left="600"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3.比赛人数：不限定初赛人数限制，财会专业学生均可参加。</w:t>
      </w:r>
    </w:p>
    <w:p>
      <w:pPr>
        <w:pStyle w:val="43"/>
        <w:ind w:left="600"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4.练习平台：会计能力成熟度测评系统（CMAC认证）</w:t>
      </w:r>
    </w:p>
    <w:p>
      <w:pPr>
        <w:widowControl/>
        <w:spacing w:line="240" w:lineRule="auto"/>
        <w:ind w:firstLine="560"/>
        <w:jc w:val="left"/>
        <w:rPr>
          <w:rFonts w:ascii="仿宋" w:hAnsi="仿宋" w:eastAsia="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5.比赛内容：实习会计岗位基础与认知（CMAC一级）、实习会计岗位基础与认知（CMAC二级），</w:t>
      </w:r>
      <w:r>
        <w:rPr>
          <w:rFonts w:hint="eastAsia" w:ascii="仿宋" w:hAnsi="仿宋" w:eastAsia="仿宋"/>
          <w:color w:val="000000" w:themeColor="text1"/>
          <w:szCs w:val="28"/>
          <w14:textFill>
            <w14:solidFill>
              <w14:schemeClr w14:val="tx1"/>
            </w14:solidFill>
          </w14:textFill>
        </w:rPr>
        <w:t>会计初级之《经济法基础》。</w:t>
      </w:r>
    </w:p>
    <w:p>
      <w:pPr>
        <w:pStyle w:val="43"/>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6、比赛题型：单选题、多选题、判断题</w:t>
      </w:r>
    </w:p>
    <w:p>
      <w:pPr>
        <w:pStyle w:val="43"/>
        <w:ind w:left="0"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7、决赛入围评判：</w:t>
      </w:r>
      <w:r>
        <w:rPr>
          <w:rFonts w:hint="eastAsia" w:ascii="仿宋" w:hAnsi="仿宋" w:eastAsia="仿宋" w:cs="Arial"/>
          <w:color w:val="000000" w:themeColor="text1"/>
          <w:kern w:val="0"/>
          <w:sz w:val="28"/>
          <w:szCs w:val="28"/>
          <w14:textFill>
            <w14:solidFill>
              <w14:schemeClr w14:val="tx1"/>
            </w14:solidFill>
          </w14:textFill>
        </w:rPr>
        <w:t>每校限报1-2支队伍。每支参赛队伍由4名选手组成,分别担任办税员、税务主管、财务经理、税务公务员，决赛最终名单取初赛前4-8名选手。</w:t>
      </w:r>
    </w:p>
    <w:bookmarkEnd w:id="7"/>
    <w:bookmarkEnd w:id="8"/>
    <w:bookmarkEnd w:id="9"/>
    <w:p>
      <w:pPr>
        <w:pStyle w:val="5"/>
        <w:spacing w:before="0" w:after="0" w:line="240" w:lineRule="auto"/>
        <w:ind w:firstLine="562"/>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（二）决赛</w:t>
      </w:r>
      <w:r>
        <w:rPr>
          <w:rFonts w:hint="eastAsia" w:ascii="仿宋" w:hAnsi="仿宋" w:eastAsia="仿宋"/>
          <w:color w:val="000000" w:themeColor="text1"/>
          <w:lang w:val="en-US" w:eastAsia="zh-CN"/>
          <w14:textFill>
            <w14:solidFill>
              <w14:schemeClr w14:val="tx1"/>
            </w14:solidFill>
          </w14:textFill>
        </w:rPr>
        <w:t>流程</w:t>
      </w:r>
    </w:p>
    <w:p>
      <w:pPr>
        <w:spacing w:line="240" w:lineRule="auto"/>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决赛</w:t>
      </w:r>
      <w:r>
        <w:rPr>
          <w:rFonts w:hint="eastAsia" w:ascii="仿宋" w:hAnsi="仿宋" w:eastAsia="仿宋"/>
          <w:color w:val="000000" w:themeColor="text1"/>
          <w:szCs w:val="28"/>
          <w14:textFill>
            <w14:solidFill>
              <w14:schemeClr w14:val="tx1"/>
            </w14:solidFill>
          </w14:textFill>
        </w:rPr>
        <w:t>于</w:t>
      </w:r>
      <w:r>
        <w:rPr>
          <w:rFonts w:ascii="仿宋" w:hAnsi="仿宋" w:eastAsia="仿宋" w:cs="宋体"/>
          <w:color w:val="000000" w:themeColor="text1"/>
          <w:szCs w:val="28"/>
          <w14:textFill>
            <w14:solidFill>
              <w14:schemeClr w14:val="tx1"/>
            </w14:solidFill>
          </w14:textFill>
        </w:rPr>
        <w:t>2019年11月2日</w:t>
      </w:r>
      <w:r>
        <w:rPr>
          <w:rFonts w:hint="eastAsia" w:ascii="仿宋" w:hAnsi="仿宋" w:eastAsia="仿宋"/>
          <w:color w:val="000000" w:themeColor="text1"/>
          <w:szCs w:val="28"/>
          <w14:textFill>
            <w14:solidFill>
              <w14:schemeClr w14:val="tx1"/>
            </w14:solidFill>
          </w14:textFill>
        </w:rPr>
        <w:t>在</w:t>
      </w:r>
      <w:r>
        <w:rPr>
          <w:rFonts w:ascii="仿宋" w:hAnsi="仿宋" w:eastAsia="仿宋"/>
          <w:color w:val="000000" w:themeColor="text1"/>
          <w:szCs w:val="28"/>
          <w14:textFill>
            <w14:solidFill>
              <w14:schemeClr w14:val="tx1"/>
            </w14:solidFill>
          </w14:textFill>
        </w:rPr>
        <w:t>安徽商贸职业技术学院（芜湖）</w:t>
      </w:r>
      <w:r>
        <w:rPr>
          <w:rFonts w:hint="eastAsia" w:ascii="仿宋" w:hAnsi="仿宋" w:eastAsia="仿宋"/>
          <w:color w:val="000000" w:themeColor="text1"/>
          <w:szCs w:val="28"/>
          <w14:textFill>
            <w14:solidFill>
              <w14:schemeClr w14:val="tx1"/>
            </w14:solidFill>
          </w14:textFill>
        </w:rPr>
        <w:t>举行。</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1.比赛时间：理论+实操共计180分钟</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2.比赛地点：</w:t>
      </w:r>
      <w:r>
        <w:rPr>
          <w:rFonts w:hint="eastAsia" w:ascii="仿宋" w:hAnsi="仿宋" w:eastAsia="仿宋" w:cs="宋体"/>
          <w:color w:val="000000" w:themeColor="text1"/>
          <w:kern w:val="0"/>
          <w:szCs w:val="28"/>
          <w14:textFill>
            <w14:solidFill>
              <w14:schemeClr w14:val="tx1"/>
            </w14:solidFill>
          </w14:textFill>
        </w:rPr>
        <w:t>安徽商贸职业技术学院（</w:t>
      </w:r>
      <w:r>
        <w:rPr>
          <w:rFonts w:hint="eastAsia" w:ascii="仿宋" w:hAnsi="仿宋" w:eastAsia="仿宋"/>
          <w:color w:val="000000" w:themeColor="text1"/>
          <w:szCs w:val="28"/>
          <w14:textFill>
            <w14:solidFill>
              <w14:schemeClr w14:val="tx1"/>
            </w14:solidFill>
          </w14:textFill>
        </w:rPr>
        <w:t>根据集中制、专人监考的原则确定，具体承办校另行通知）</w:t>
      </w:r>
    </w:p>
    <w:p>
      <w:pPr>
        <w:spacing w:line="240" w:lineRule="auto"/>
        <w:ind w:firstLine="560"/>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3.比赛平台：税务竞赛平台</w:t>
      </w:r>
    </w:p>
    <w:p>
      <w:pPr>
        <w:spacing w:line="240" w:lineRule="auto"/>
        <w:ind w:firstLine="560"/>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4.理论比赛内容</w:t>
      </w:r>
    </w:p>
    <w:p>
      <w:pPr>
        <w:pStyle w:val="43"/>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第一</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纳税实务及开票、申报等</w:t>
      </w:r>
      <w:r>
        <w:rPr>
          <w:rFonts w:hint="eastAsia" w:ascii="仿宋" w:hAnsi="仿宋" w:eastAsia="仿宋"/>
          <w:color w:val="000000" w:themeColor="text1"/>
          <w:sz w:val="28"/>
          <w:szCs w:val="28"/>
          <w14:textFill>
            <w14:solidFill>
              <w14:schemeClr w14:val="tx1"/>
            </w14:solidFill>
          </w14:textFill>
        </w:rPr>
        <w:t>软件操作知识；发票领购存及核销知识；税收基本知识；增值税知识；企业所得税知识；个人所得税知识；消费税知识；资源税知识；城建税及教育费附加知识；土地增值税、使用税及耕地税；印花税及房产税知识；关税、契税及其他小税种知识。</w:t>
      </w:r>
    </w:p>
    <w:p>
      <w:pPr>
        <w:widowControl/>
        <w:spacing w:line="240" w:lineRule="auto"/>
        <w:ind w:firstLine="560"/>
        <w:jc w:val="left"/>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第二</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会计学基础知识，</w:t>
      </w:r>
      <w:r>
        <w:rPr>
          <w:rFonts w:hint="eastAsia" w:ascii="仿宋" w:hAnsi="仿宋" w:eastAsia="仿宋" w:cs="仿宋"/>
          <w:color w:val="000000" w:themeColor="text1"/>
          <w:szCs w:val="28"/>
          <w14:textFill>
            <w14:solidFill>
              <w14:schemeClr w14:val="tx1"/>
            </w14:solidFill>
          </w14:textFill>
        </w:rPr>
        <w:t>实习会计岗位基础与认知（CMAC一级）、实习会计岗位基础与认知（CMAC二级）</w:t>
      </w:r>
      <w:r>
        <w:rPr>
          <w:rFonts w:hint="eastAsia" w:ascii="仿宋" w:hAnsi="仿宋" w:eastAsia="仿宋"/>
          <w:color w:val="000000" w:themeColor="text1"/>
          <w:szCs w:val="28"/>
          <w14:textFill>
            <w14:solidFill>
              <w14:schemeClr w14:val="tx1"/>
            </w14:solidFill>
          </w14:textFill>
        </w:rPr>
        <w:t>会计初级之《经济法基础》。</w:t>
      </w:r>
    </w:p>
    <w:p>
      <w:pPr>
        <w:pStyle w:val="43"/>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比赛题型：单选题、多选题、判断题</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5.实操比赛内容</w:t>
      </w:r>
    </w:p>
    <w:p>
      <w:pPr>
        <w:spacing w:line="240" w:lineRule="auto"/>
        <w:ind w:firstLine="562"/>
        <w:rPr>
          <w:rFonts w:ascii="仿宋" w:hAnsi="仿宋" w:eastAsia="仿宋"/>
          <w:b/>
          <w:bCs/>
          <w:color w:val="000000" w:themeColor="text1"/>
          <w:szCs w:val="28"/>
          <w14:textFill>
            <w14:solidFill>
              <w14:schemeClr w14:val="tx1"/>
            </w14:solidFill>
          </w14:textFill>
        </w:rPr>
      </w:pPr>
      <w:r>
        <w:rPr>
          <w:rFonts w:hint="eastAsia" w:ascii="仿宋" w:hAnsi="仿宋" w:eastAsia="仿宋" w:cs="微软雅黑"/>
          <w:b/>
          <w:bCs/>
          <w:color w:val="000000" w:themeColor="text1"/>
          <w:szCs w:val="28"/>
          <w14:textFill>
            <w14:solidFill>
              <w14:schemeClr w14:val="tx1"/>
            </w14:solidFill>
          </w14:textFill>
        </w:rPr>
        <w:t>办税员：</w:t>
      </w:r>
    </w:p>
    <w:p>
      <w:pPr>
        <w:pStyle w:val="43"/>
        <w:ind w:left="0"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（1）增值税专用发票填开，包括发票读入核对、正常发票、折扣发票、清单发票、负数发票填开、发票查询统计、发票作废。</w:t>
      </w:r>
    </w:p>
    <w:p>
      <w:pPr>
        <w:pStyle w:val="43"/>
        <w:ind w:left="0"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（2）增值税发票网上抄报税，包括金税卡时钟修改、报税处理、远程清卡。</w:t>
      </w:r>
    </w:p>
    <w:p>
      <w:pPr>
        <w:pStyle w:val="43"/>
        <w:ind w:left="0"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（3）增值税一般纳税人网上申报，包括进项发票采集、销项发票采集、进项税额转出、填写纳税申报表、发送纳税申报表、缴纳税款。</w:t>
      </w:r>
    </w:p>
    <w:p>
      <w:pPr>
        <w:spacing w:line="240" w:lineRule="auto"/>
        <w:ind w:firstLine="562"/>
        <w:rPr>
          <w:rFonts w:ascii="仿宋" w:hAnsi="仿宋" w:eastAsia="仿宋"/>
          <w:color w:val="000000" w:themeColor="text1"/>
          <w:szCs w:val="28"/>
          <w14:textFill>
            <w14:solidFill>
              <w14:schemeClr w14:val="tx1"/>
            </w14:solidFill>
          </w14:textFill>
        </w:rPr>
      </w:pPr>
      <w:r>
        <w:rPr>
          <w:rFonts w:hint="eastAsia" w:ascii="仿宋" w:hAnsi="仿宋" w:eastAsia="仿宋" w:cs="微软雅黑"/>
          <w:b/>
          <w:color w:val="000000" w:themeColor="text1"/>
          <w:szCs w:val="28"/>
          <w14:textFill>
            <w14:solidFill>
              <w14:schemeClr w14:val="tx1"/>
            </w14:solidFill>
          </w14:textFill>
        </w:rPr>
        <w:t>税务主管：</w:t>
      </w:r>
    </w:p>
    <w:p>
      <w:pPr>
        <w:pStyle w:val="43"/>
        <w:ind w:left="0"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（1）查账征收企业所得税汇算清缴网上申报，包括税款的计算、基础信息的设置、报表简化、报表的填写、报表的发送、网上缴税。</w:t>
      </w:r>
    </w:p>
    <w:p>
      <w:pPr>
        <w:pStyle w:val="43"/>
        <w:ind w:left="600" w:firstLine="0" w:firstLineChars="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（2）财务报表的填写与编制</w:t>
      </w:r>
      <w:r>
        <w:rPr>
          <w:rFonts w:hint="eastAsia" w:ascii="仿宋" w:hAnsi="仿宋" w:eastAsia="仿宋" w:cs="仿宋_GB2312"/>
          <w:color w:val="000000" w:themeColor="text1"/>
          <w:sz w:val="28"/>
          <w:szCs w:val="28"/>
          <w:lang w:eastAsia="zh-CN"/>
          <w14:textFill>
            <w14:solidFill>
              <w14:schemeClr w14:val="tx1"/>
            </w14:solidFill>
          </w14:textFill>
        </w:rPr>
        <w:t>。</w:t>
      </w:r>
    </w:p>
    <w:p>
      <w:pPr>
        <w:spacing w:line="240" w:lineRule="auto"/>
        <w:ind w:firstLine="562"/>
        <w:rPr>
          <w:rFonts w:ascii="仿宋" w:hAnsi="仿宋" w:eastAsia="仿宋" w:cs="微软雅黑"/>
          <w:b/>
          <w:color w:val="000000" w:themeColor="text1"/>
          <w:szCs w:val="28"/>
          <w14:textFill>
            <w14:solidFill>
              <w14:schemeClr w14:val="tx1"/>
            </w14:solidFill>
          </w14:textFill>
        </w:rPr>
      </w:pPr>
      <w:r>
        <w:rPr>
          <w:rFonts w:hint="eastAsia" w:ascii="仿宋" w:hAnsi="仿宋" w:eastAsia="仿宋" w:cs="微软雅黑"/>
          <w:b/>
          <w:color w:val="000000" w:themeColor="text1"/>
          <w:szCs w:val="28"/>
          <w14:textFill>
            <w14:solidFill>
              <w14:schemeClr w14:val="tx1"/>
            </w14:solidFill>
          </w14:textFill>
        </w:rPr>
        <w:t>财务经理：</w:t>
      </w:r>
    </w:p>
    <w:p>
      <w:pPr>
        <w:spacing w:line="240" w:lineRule="auto"/>
        <w:ind w:firstLine="560"/>
        <w:rPr>
          <w:rFonts w:hint="eastAsia" w:ascii="仿宋" w:hAnsi="仿宋" w:eastAsia="仿宋" w:cs="Arial"/>
          <w:color w:val="000000" w:themeColor="text1"/>
          <w:kern w:val="0"/>
          <w:szCs w:val="28"/>
          <w:lang w:eastAsia="zh-CN"/>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（1）纳税筹划</w:t>
      </w:r>
      <w:r>
        <w:rPr>
          <w:rFonts w:hint="eastAsia" w:ascii="仿宋" w:hAnsi="仿宋" w:eastAsia="仿宋" w:cs="Arial"/>
          <w:color w:val="000000" w:themeColor="text1"/>
          <w:kern w:val="0"/>
          <w:szCs w:val="28"/>
          <w:lang w:eastAsia="zh-CN"/>
          <w14:textFill>
            <w14:solidFill>
              <w14:schemeClr w14:val="tx1"/>
            </w14:solidFill>
          </w14:textFill>
        </w:rPr>
        <w:t>。</w:t>
      </w:r>
    </w:p>
    <w:p>
      <w:pPr>
        <w:pStyle w:val="43"/>
        <w:ind w:left="0" w:firstLine="560" w:firstLineChars="200"/>
        <w:rPr>
          <w:rFonts w:ascii="仿宋" w:hAnsi="仿宋" w:eastAsia="仿宋" w:cs="Arial"/>
          <w:color w:val="000000" w:themeColor="text1"/>
          <w:kern w:val="0"/>
          <w:szCs w:val="28"/>
          <w:highlight w:val="red"/>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（2）自然人税收管理系统扣缴客户端网上申报，包括人员信息的采集、工资薪金收入等纳税收入表的填写、发送纳税申报表、缴纳税款。</w:t>
      </w:r>
    </w:p>
    <w:p>
      <w:pPr>
        <w:spacing w:line="240" w:lineRule="auto"/>
        <w:ind w:firstLine="562"/>
        <w:rPr>
          <w:rFonts w:ascii="仿宋" w:hAnsi="仿宋" w:eastAsia="仿宋" w:cs="微软雅黑"/>
          <w:b/>
          <w:color w:val="000000" w:themeColor="text1"/>
          <w:szCs w:val="28"/>
          <w14:textFill>
            <w14:solidFill>
              <w14:schemeClr w14:val="tx1"/>
            </w14:solidFill>
          </w14:textFill>
        </w:rPr>
      </w:pPr>
      <w:r>
        <w:rPr>
          <w:rFonts w:hint="eastAsia" w:ascii="仿宋" w:hAnsi="仿宋" w:eastAsia="仿宋" w:cs="微软雅黑"/>
          <w:b/>
          <w:color w:val="000000" w:themeColor="text1"/>
          <w:szCs w:val="28"/>
          <w14:textFill>
            <w14:solidFill>
              <w14:schemeClr w14:val="tx1"/>
            </w14:solidFill>
          </w14:textFill>
        </w:rPr>
        <w:t>税务公务员：</w:t>
      </w:r>
    </w:p>
    <w:p>
      <w:pPr>
        <w:spacing w:line="240" w:lineRule="auto"/>
        <w:ind w:firstLine="560"/>
        <w:rPr>
          <w:rFonts w:hint="eastAsia" w:ascii="仿宋" w:hAnsi="仿宋" w:eastAsia="仿宋" w:cs="宋体"/>
          <w:color w:val="000000" w:themeColor="text1"/>
          <w:szCs w:val="28"/>
          <w:lang w:eastAsia="zh-CN"/>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纳税评估与税收风险点分析</w:t>
      </w:r>
      <w:r>
        <w:rPr>
          <w:rFonts w:hint="eastAsia" w:ascii="仿宋" w:hAnsi="仿宋" w:eastAsia="仿宋" w:cs="Arial"/>
          <w:color w:val="000000" w:themeColor="text1"/>
          <w:kern w:val="0"/>
          <w:szCs w:val="28"/>
          <w:lang w:eastAsia="zh-CN"/>
          <w14:textFill>
            <w14:solidFill>
              <w14:schemeClr w14:val="tx1"/>
            </w14:solidFill>
          </w14:textFill>
        </w:rPr>
        <w:t>。</w:t>
      </w:r>
    </w:p>
    <w:tbl>
      <w:tblPr>
        <w:tblStyle w:val="23"/>
        <w:tblW w:w="10482" w:type="dxa"/>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525"/>
        <w:gridCol w:w="825"/>
        <w:gridCol w:w="82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85" w:type="dxa"/>
            <w:vAlign w:val="center"/>
          </w:tcPr>
          <w:p>
            <w:pPr>
              <w:spacing w:line="120" w:lineRule="auto"/>
              <w:ind w:firstLine="0" w:firstLineChars="0"/>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岗位</w:t>
            </w:r>
          </w:p>
        </w:tc>
        <w:tc>
          <w:tcPr>
            <w:tcW w:w="6525" w:type="dxa"/>
            <w:vAlign w:val="center"/>
          </w:tcPr>
          <w:p>
            <w:pPr>
              <w:spacing w:line="120" w:lineRule="auto"/>
              <w:ind w:firstLine="422"/>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内容</w:t>
            </w:r>
          </w:p>
        </w:tc>
        <w:tc>
          <w:tcPr>
            <w:tcW w:w="825" w:type="dxa"/>
          </w:tcPr>
          <w:p>
            <w:pPr>
              <w:ind w:firstLine="0" w:firstLineChars="0"/>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分值</w:t>
            </w:r>
          </w:p>
        </w:tc>
        <w:tc>
          <w:tcPr>
            <w:tcW w:w="825" w:type="dxa"/>
            <w:vAlign w:val="center"/>
          </w:tcPr>
          <w:p>
            <w:pPr>
              <w:ind w:firstLine="0" w:firstLineChars="0"/>
              <w:jc w:val="center"/>
              <w:rPr>
                <w:rFonts w:ascii="仿宋" w:hAnsi="仿宋" w:eastAsia="仿宋" w:cs="宋体"/>
                <w:b/>
                <w:bCs/>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总分</w:t>
            </w:r>
          </w:p>
        </w:tc>
        <w:tc>
          <w:tcPr>
            <w:tcW w:w="822" w:type="dxa"/>
            <w:vAlign w:val="center"/>
          </w:tcPr>
          <w:p>
            <w:pPr>
              <w:ind w:firstLine="0" w:firstLineChars="0"/>
              <w:jc w:val="center"/>
              <w:rPr>
                <w:rFonts w:ascii="仿宋" w:hAnsi="仿宋" w:eastAsia="仿宋" w:cs="宋体"/>
                <w:b/>
                <w:bCs/>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85" w:type="dxa"/>
            <w:vMerge w:val="restart"/>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办税员</w:t>
            </w: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1.职业素养、职业精神（单选、多选、判断）；</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restart"/>
            <w:vAlign w:val="center"/>
          </w:tcPr>
          <w:p>
            <w:pPr>
              <w:ind w:firstLine="0" w:firstLineChars="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800</w:t>
            </w:r>
          </w:p>
        </w:tc>
        <w:tc>
          <w:tcPr>
            <w:tcW w:w="822" w:type="dxa"/>
            <w:vMerge w:val="restart"/>
            <w:vAlign w:val="center"/>
          </w:tcPr>
          <w:p>
            <w:pPr>
              <w:ind w:firstLine="0" w:firstLineChars="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系</w:t>
            </w:r>
          </w:p>
          <w:p>
            <w:pPr>
              <w:ind w:firstLine="0" w:firstLineChars="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统</w:t>
            </w:r>
          </w:p>
          <w:p>
            <w:pPr>
              <w:ind w:firstLine="0" w:firstLineChars="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评</w:t>
            </w:r>
          </w:p>
          <w:p>
            <w:pPr>
              <w:ind w:firstLine="0" w:firstLineChars="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2.一般纳税人增值税发票开具及抄报税；</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3.一般纳税人增值税网上申报；</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4.</w:t>
            </w:r>
            <w:r>
              <w:rPr>
                <w:rFonts w:hint="eastAsia" w:ascii="仿宋" w:hAnsi="仿宋" w:eastAsia="仿宋" w:cs="Arial"/>
                <w:color w:val="000000" w:themeColor="text1"/>
                <w:kern w:val="0"/>
                <w:sz w:val="21"/>
                <w:szCs w:val="21"/>
                <w14:textFill>
                  <w14:solidFill>
                    <w14:schemeClr w14:val="tx1"/>
                  </w14:solidFill>
                </w14:textFill>
              </w:rPr>
              <w:t xml:space="preserve"> 增值税进项发票网上勾选认证</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85" w:type="dxa"/>
            <w:vMerge w:val="restart"/>
            <w:vAlign w:val="center"/>
          </w:tcPr>
          <w:p>
            <w:pPr>
              <w:spacing w:line="120" w:lineRule="auto"/>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税务主管</w:t>
            </w: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1.职业素养、职业精神（单选、多选、判断）；</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2.一般企业查账征收企业所得税年度汇算清缴；</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3.财务报表填写与申报；</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85" w:type="dxa"/>
            <w:vMerge w:val="restart"/>
            <w:vAlign w:val="center"/>
          </w:tcPr>
          <w:p>
            <w:pPr>
              <w:spacing w:line="120" w:lineRule="auto"/>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财务经理</w:t>
            </w: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1.职业素养、职业精神（单选、多选、判断）；</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2.纳税筹划</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vAlign w:val="center"/>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3.个人所得税代扣代缴网上申报；</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85" w:type="dxa"/>
            <w:vMerge w:val="restart"/>
            <w:vAlign w:val="center"/>
          </w:tcPr>
          <w:p>
            <w:pPr>
              <w:spacing w:line="120" w:lineRule="auto"/>
              <w:ind w:firstLine="0" w:firstLineChars="0"/>
              <w:rPr>
                <w:rFonts w:ascii="仿宋" w:hAnsi="仿宋" w:eastAsia="仿宋"/>
                <w:color w:val="000000" w:themeColor="text1"/>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税务公务员</w:t>
            </w:r>
          </w:p>
        </w:tc>
        <w:tc>
          <w:tcPr>
            <w:tcW w:w="6525" w:type="dxa"/>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1.职业素养、职业精神（单选、多选、判断）；</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85" w:type="dxa"/>
            <w:vMerge w:val="continue"/>
            <w:vAlign w:val="center"/>
          </w:tcPr>
          <w:p>
            <w:pPr>
              <w:spacing w:line="120" w:lineRule="auto"/>
              <w:ind w:firstLine="420"/>
              <w:rPr>
                <w:rFonts w:ascii="仿宋" w:hAnsi="仿宋" w:eastAsia="仿宋"/>
                <w:color w:val="000000" w:themeColor="text1"/>
                <w:sz w:val="21"/>
                <w:szCs w:val="21"/>
                <w14:textFill>
                  <w14:solidFill>
                    <w14:schemeClr w14:val="tx1"/>
                  </w14:solidFill>
                </w14:textFill>
              </w:rPr>
            </w:pPr>
          </w:p>
        </w:tc>
        <w:tc>
          <w:tcPr>
            <w:tcW w:w="6525" w:type="dxa"/>
          </w:tcPr>
          <w:p>
            <w:pPr>
              <w:spacing w:line="120" w:lineRule="auto"/>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 纳税评估与税收风险点分析[  92（自动评分）+8（专家评分）]</w:t>
            </w:r>
          </w:p>
        </w:tc>
        <w:tc>
          <w:tcPr>
            <w:tcW w:w="825" w:type="dxa"/>
          </w:tcPr>
          <w:p>
            <w:pPr>
              <w:ind w:firstLine="0" w:firstLineChars="0"/>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825" w:type="dxa"/>
            <w:vMerge w:val="continue"/>
          </w:tcPr>
          <w:p>
            <w:pPr>
              <w:ind w:firstLine="600"/>
              <w:rPr>
                <w:rFonts w:ascii="仿宋" w:hAnsi="仿宋" w:eastAsia="仿宋" w:cs="宋体"/>
                <w:color w:val="000000" w:themeColor="text1"/>
                <w:sz w:val="30"/>
                <w:szCs w:val="30"/>
                <w14:textFill>
                  <w14:solidFill>
                    <w14:schemeClr w14:val="tx1"/>
                  </w14:solidFill>
                </w14:textFill>
              </w:rPr>
            </w:pPr>
          </w:p>
        </w:tc>
        <w:tc>
          <w:tcPr>
            <w:tcW w:w="822" w:type="dxa"/>
            <w:vMerge w:val="continue"/>
            <w:vAlign w:val="center"/>
          </w:tcPr>
          <w:p>
            <w:pPr>
              <w:ind w:firstLine="560"/>
              <w:rPr>
                <w:rFonts w:ascii="仿宋" w:hAnsi="仿宋" w:eastAsia="仿宋"/>
                <w:color w:val="000000" w:themeColor="text1"/>
                <w:szCs w:val="21"/>
                <w14:textFill>
                  <w14:solidFill>
                    <w14:schemeClr w14:val="tx1"/>
                  </w14:solidFill>
                </w14:textFill>
              </w:rPr>
            </w:pPr>
          </w:p>
        </w:tc>
      </w:tr>
    </w:tbl>
    <w:p>
      <w:pPr>
        <w:spacing w:line="240" w:lineRule="auto"/>
        <w:ind w:firstLine="560"/>
        <w:rPr>
          <w:rFonts w:ascii="仿宋" w:hAnsi="仿宋" w:eastAsia="仿宋" w:cs="宋体"/>
          <w:color w:val="000000" w:themeColor="text1"/>
          <w:szCs w:val="28"/>
          <w14:textFill>
            <w14:solidFill>
              <w14:schemeClr w14:val="tx1"/>
            </w14:solidFill>
          </w14:textFill>
        </w:rPr>
      </w:pP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bookmarkStart w:id="10" w:name="_Toc516146526"/>
      <w:r>
        <w:rPr>
          <w:rFonts w:hint="eastAsia" w:ascii="仿宋" w:hAnsi="仿宋" w:eastAsia="仿宋"/>
          <w:color w:val="000000" w:themeColor="text1"/>
          <w:sz w:val="28"/>
          <w:szCs w:val="28"/>
          <w14:textFill>
            <w14:solidFill>
              <w14:schemeClr w14:val="tx1"/>
            </w14:solidFill>
          </w14:textFill>
        </w:rPr>
        <w:t>六、竞赛试题</w:t>
      </w:r>
      <w:bookmarkEnd w:id="10"/>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由大赛组委会统一安排出题、试题完全按照金税三期要求和最新税收政策进行编写、测试，并由专家委员会审核。比赛样卷于赛前30天公布至大赛指定的平台。</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bookmarkStart w:id="11" w:name="_Toc20637"/>
      <w:bookmarkStart w:id="12" w:name="_Toc516146527"/>
      <w:r>
        <w:rPr>
          <w:rFonts w:hint="eastAsia" w:ascii="仿宋" w:hAnsi="仿宋" w:eastAsia="仿宋"/>
          <w:color w:val="000000" w:themeColor="text1"/>
          <w:sz w:val="28"/>
          <w:szCs w:val="28"/>
          <w14:textFill>
            <w14:solidFill>
              <w14:schemeClr w14:val="tx1"/>
            </w14:solidFill>
          </w14:textFill>
        </w:rPr>
        <w:t>七、竞赛规则</w:t>
      </w:r>
      <w:bookmarkEnd w:id="11"/>
      <w:bookmarkEnd w:id="12"/>
    </w:p>
    <w:p>
      <w:pPr>
        <w:spacing w:line="240" w:lineRule="auto"/>
        <w:ind w:firstLine="560"/>
        <w:rPr>
          <w:rFonts w:ascii="仿宋" w:hAnsi="仿宋" w:eastAsia="仿宋"/>
          <w:color w:val="000000" w:themeColor="text1"/>
          <w:szCs w:val="28"/>
          <w14:textFill>
            <w14:solidFill>
              <w14:schemeClr w14:val="tx1"/>
            </w14:solidFill>
          </w14:textFill>
        </w:rPr>
      </w:pPr>
      <w:bookmarkStart w:id="13" w:name="_Toc32273"/>
      <w:bookmarkStart w:id="14" w:name="_Toc516146530"/>
      <w:r>
        <w:rPr>
          <w:rFonts w:hint="eastAsia" w:ascii="仿宋" w:hAnsi="仿宋" w:eastAsia="仿宋"/>
          <w:color w:val="000000" w:themeColor="text1"/>
          <w:szCs w:val="28"/>
          <w14:textFill>
            <w14:solidFill>
              <w14:schemeClr w14:val="tx1"/>
            </w14:solidFill>
          </w14:textFill>
        </w:rPr>
        <w:t>1.赛前准备</w:t>
      </w:r>
      <w:bookmarkEnd w:id="13"/>
      <w:bookmarkEnd w:id="14"/>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凡参赛选手、领队/指导老师、裁判员、工作人员、赛项组织者等均按照赛项组委会要求准时到达赛项举办地点，及时办理相关手续，领取相关证件，熟悉场地，做好赛前准备工作。</w:t>
      </w:r>
    </w:p>
    <w:p>
      <w:pPr>
        <w:spacing w:line="240" w:lineRule="auto"/>
        <w:ind w:firstLine="560"/>
        <w:rPr>
          <w:rFonts w:ascii="仿宋" w:hAnsi="仿宋" w:eastAsia="仿宋"/>
          <w:color w:val="000000" w:themeColor="text1"/>
          <w:szCs w:val="28"/>
          <w14:textFill>
            <w14:solidFill>
              <w14:schemeClr w14:val="tx1"/>
            </w14:solidFill>
          </w14:textFill>
        </w:rPr>
      </w:pPr>
      <w:bookmarkStart w:id="15" w:name="_Toc6363"/>
      <w:bookmarkStart w:id="16" w:name="_Toc516146531"/>
      <w:r>
        <w:rPr>
          <w:rFonts w:hint="eastAsia" w:ascii="仿宋" w:hAnsi="仿宋" w:eastAsia="仿宋"/>
          <w:color w:val="000000" w:themeColor="text1"/>
          <w:szCs w:val="28"/>
          <w14:textFill>
            <w14:solidFill>
              <w14:schemeClr w14:val="tx1"/>
            </w14:solidFill>
          </w14:textFill>
        </w:rPr>
        <w:t>2.比赛期间</w:t>
      </w:r>
      <w:bookmarkEnd w:id="15"/>
      <w:bookmarkEnd w:id="16"/>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比赛现场所有参赛选手、指导老师、裁判员、工作人员、赛项组织者等均需佩戴相关证件，按照赛项相关规定出入指定区域，不同证件有不同的区域限制，以保持赛场秩序良好。</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（1）竞赛现场按照办税员、税务主管、财务经理、税务公务员四个岗位设置竞赛台位。参赛队伍按照抽签确定的岗位，在裁判员的指导下，对号入座。各队选手应检查台位号与抽签号是否相符。</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（2）比赛统一配备竞赛中需要的实训宝专用设备、空白A4纸及笔。</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（3）参赛选手请勿携带与竞赛无关的电子设备、通讯设备及其他相关参考书等资料与用品。</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（4）参赛选手应提前30分钟到达赛场，凭参赛证、学生证、身份证检录，按要求入场，不得迟到早退。</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待比赛命令发布后，方可开始答题。竞赛过程中如有疑问或遇设备、软件等故障，参赛选手应举手示意，裁判员、技术人员应及时予以解决。确因计算机软件或硬件故障，致使操作无法继续的，经裁判长确认，予以启用备用设备继续比赛。</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（6）每位参赛选手须按照确定的岗位任务完成；团队成员彼此之间可以互相协助，但不得换岗。</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（7）比赛系统自动评分，并实时显示排行榜。竞赛时间终了，排行榜自动冻结。</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（8）比赛系统自动计时，比赛结束前5分钟，系统会自动提示。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竞赛时间终了，选手应全体起立，结束操作。将资料和比赛用品整齐摆放在操作台上，经裁判员清点后方可离开赛场，离开赛场时不得带走任何资料。</w:t>
      </w:r>
    </w:p>
    <w:p>
      <w:pPr>
        <w:spacing w:line="240" w:lineRule="auto"/>
        <w:ind w:firstLine="560"/>
        <w:rPr>
          <w:rFonts w:ascii="仿宋" w:hAnsi="仿宋" w:eastAsia="仿宋"/>
          <w:color w:val="000000" w:themeColor="text1"/>
          <w:szCs w:val="28"/>
          <w14:textFill>
            <w14:solidFill>
              <w14:schemeClr w14:val="tx1"/>
            </w14:solidFill>
          </w14:textFill>
        </w:rPr>
      </w:pPr>
      <w:bookmarkStart w:id="17" w:name="_Toc516146532"/>
      <w:bookmarkStart w:id="18" w:name="_Toc21885"/>
      <w:r>
        <w:rPr>
          <w:rFonts w:hint="eastAsia" w:ascii="仿宋" w:hAnsi="仿宋" w:eastAsia="仿宋"/>
          <w:color w:val="000000" w:themeColor="text1"/>
          <w:szCs w:val="28"/>
          <w14:textFill>
            <w14:solidFill>
              <w14:schemeClr w14:val="tx1"/>
            </w14:solidFill>
          </w14:textFill>
        </w:rPr>
        <w:t>3.成绩公布</w:t>
      </w:r>
      <w:bookmarkEnd w:id="17"/>
      <w:bookmarkEnd w:id="18"/>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竞赛时，教师休息室配备竞赛排行榜，实时显示竞赛成绩，理论题由选手提交试卷后，系统自动评分；实操部分，其他所有申报类模块均要求选手点击评分按钮进行交卷，由系统自动评分并显示。</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bookmarkStart w:id="19" w:name="_Toc516146533"/>
      <w:r>
        <w:rPr>
          <w:rFonts w:hint="eastAsia" w:ascii="仿宋" w:hAnsi="仿宋" w:eastAsia="仿宋"/>
          <w:color w:val="000000" w:themeColor="text1"/>
          <w:sz w:val="28"/>
          <w:szCs w:val="28"/>
          <w14:textFill>
            <w14:solidFill>
              <w14:schemeClr w14:val="tx1"/>
            </w14:solidFill>
          </w14:textFill>
        </w:rPr>
        <w:t>八、竞赛环境</w:t>
      </w:r>
      <w:bookmarkEnd w:id="19"/>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bookmarkStart w:id="20" w:name="_Toc14557"/>
      <w:bookmarkStart w:id="21" w:name="_Toc516146534"/>
      <w:r>
        <w:rPr>
          <w:rFonts w:hint="eastAsia" w:ascii="仿宋" w:hAnsi="仿宋" w:eastAsia="仿宋" w:cs="Arial"/>
          <w:color w:val="000000" w:themeColor="text1"/>
          <w:kern w:val="0"/>
          <w:szCs w:val="28"/>
          <w14:textFill>
            <w14:solidFill>
              <w14:schemeClr w14:val="tx1"/>
            </w14:solidFill>
          </w14:textFill>
        </w:rPr>
        <w:t>实操环节按参赛队设同等台位，台位由抽签决定。每一台位设办税员、税务主管、税务公务员、财务经理4个岗位以及备用机位若干。理论部分和实操部分同场地进行，由计算器系统抽签决定各队员的台位。</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本赛项同时开设专门场所供指导老师、领队代表休息，查看排行榜，观摩体验。</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1.技术规范（标准）</w:t>
      </w:r>
      <w:bookmarkEnd w:id="20"/>
      <w:bookmarkEnd w:id="21"/>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参照教育厅验收通过的高等职业教育财会专业教学资源库建设的“专业标准”“课程标准”为基本范围和基本要求。</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竞赛以现行的财经法律、法规和财政部、国家税务总局统一出台的会计、税务、法规、制度和规范性文件为依据。</w:t>
      </w:r>
    </w:p>
    <w:p>
      <w:pPr>
        <w:spacing w:line="240" w:lineRule="auto"/>
        <w:ind w:firstLine="560"/>
        <w:rPr>
          <w:rFonts w:ascii="仿宋" w:hAnsi="仿宋" w:eastAsia="仿宋"/>
          <w:color w:val="000000" w:themeColor="text1"/>
          <w:szCs w:val="28"/>
          <w14:textFill>
            <w14:solidFill>
              <w14:schemeClr w14:val="tx1"/>
            </w14:solidFill>
          </w14:textFill>
        </w:rPr>
      </w:pPr>
      <w:bookmarkStart w:id="22" w:name="_Toc516146535"/>
      <w:bookmarkStart w:id="23" w:name="_Toc1013"/>
      <w:r>
        <w:rPr>
          <w:rFonts w:hint="eastAsia" w:ascii="仿宋" w:hAnsi="仿宋" w:eastAsia="仿宋"/>
          <w:color w:val="000000" w:themeColor="text1"/>
          <w:szCs w:val="28"/>
          <w14:textFill>
            <w14:solidFill>
              <w14:schemeClr w14:val="tx1"/>
            </w14:solidFill>
          </w14:textFill>
        </w:rPr>
        <w:t>2.技术平台</w:t>
      </w:r>
      <w:bookmarkEnd w:id="22"/>
      <w:bookmarkEnd w:id="23"/>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bookmarkStart w:id="24" w:name="_Toc516146536"/>
      <w:r>
        <w:rPr>
          <w:rFonts w:hint="eastAsia" w:ascii="仿宋" w:hAnsi="仿宋" w:eastAsia="仿宋" w:cs="Arial"/>
          <w:color w:val="000000" w:themeColor="text1"/>
          <w:kern w:val="0"/>
          <w:szCs w:val="28"/>
          <w14:textFill>
            <w14:solidFill>
              <w14:schemeClr w14:val="tx1"/>
            </w14:solidFill>
          </w14:textFill>
        </w:rPr>
        <w:t>竞赛使用设备、用具及软件。</w:t>
      </w:r>
    </w:p>
    <w:p>
      <w:pPr>
        <w:pStyle w:val="6"/>
        <w:spacing w:before="0" w:after="0" w:line="240" w:lineRule="auto"/>
        <w:ind w:firstLine="562"/>
        <w:rPr>
          <w:rFonts w:ascii="仿宋" w:hAnsi="仿宋" w:eastAsia="仿宋"/>
          <w:b w:val="0"/>
          <w:bCs w:val="0"/>
          <w:i w:val="0"/>
          <w:iCs w:val="0"/>
          <w:color w:val="000000" w:themeColor="text1"/>
          <w14:textFill>
            <w14:solidFill>
              <w14:schemeClr w14:val="tx1"/>
            </w14:solidFill>
          </w14:textFill>
        </w:rPr>
      </w:pPr>
      <w:r>
        <w:rPr>
          <w:rFonts w:hint="eastAsia" w:ascii="仿宋" w:hAnsi="仿宋" w:eastAsia="仿宋"/>
          <w:b w:val="0"/>
          <w:bCs w:val="0"/>
          <w:i w:val="0"/>
          <w:iCs w:val="0"/>
          <w:color w:val="000000" w:themeColor="text1"/>
          <w:lang w:eastAsia="zh-CN"/>
          <w14:textFill>
            <w14:solidFill>
              <w14:schemeClr w14:val="tx1"/>
            </w14:solidFill>
          </w14:textFill>
        </w:rPr>
        <w:t>（</w:t>
      </w:r>
      <w:r>
        <w:rPr>
          <w:rFonts w:hint="eastAsia" w:ascii="仿宋" w:hAnsi="仿宋" w:eastAsia="仿宋"/>
          <w:b w:val="0"/>
          <w:bCs w:val="0"/>
          <w:i w:val="0"/>
          <w:iCs w:val="0"/>
          <w:color w:val="000000" w:themeColor="text1"/>
          <w:lang w:val="en-US" w:eastAsia="zh-CN"/>
          <w14:textFill>
            <w14:solidFill>
              <w14:schemeClr w14:val="tx1"/>
            </w14:solidFill>
          </w14:textFill>
        </w:rPr>
        <w:t>1</w:t>
      </w:r>
      <w:r>
        <w:rPr>
          <w:rFonts w:hint="eastAsia" w:ascii="仿宋" w:hAnsi="仿宋" w:eastAsia="仿宋"/>
          <w:b w:val="0"/>
          <w:bCs w:val="0"/>
          <w:i w:val="0"/>
          <w:iCs w:val="0"/>
          <w:color w:val="000000" w:themeColor="text1"/>
          <w:lang w:eastAsia="zh-CN"/>
          <w14:textFill>
            <w14:solidFill>
              <w14:schemeClr w14:val="tx1"/>
            </w14:solidFill>
          </w14:textFill>
        </w:rPr>
        <w:t>）</w:t>
      </w:r>
      <w:r>
        <w:rPr>
          <w:rFonts w:hint="eastAsia" w:ascii="仿宋" w:hAnsi="仿宋" w:eastAsia="仿宋"/>
          <w:b w:val="0"/>
          <w:bCs w:val="0"/>
          <w:i w:val="0"/>
          <w:iCs w:val="0"/>
          <w:color w:val="000000" w:themeColor="text1"/>
          <w14:textFill>
            <w14:solidFill>
              <w14:schemeClr w14:val="tx1"/>
            </w14:solidFill>
          </w14:textFill>
        </w:rPr>
        <w:t>理论环节：</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税务技能大赛理论环节竞赛在局域网环境下使用税务竞赛平台进行。赛项每台位配置计算机1台、笔一支、A4纸若干。</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*评分功能如下：结果提交时，选手根据竞赛要求在竞赛平台直接提交试卷，系统自动评分。</w:t>
      </w:r>
    </w:p>
    <w:p>
      <w:pPr>
        <w:pStyle w:val="6"/>
        <w:spacing w:before="0" w:after="0" w:line="240" w:lineRule="auto"/>
        <w:ind w:firstLine="562"/>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lang w:eastAsia="zh-CN"/>
          <w14:textFill>
            <w14:solidFill>
              <w14:schemeClr w14:val="tx1"/>
            </w14:solidFill>
          </w14:textFill>
        </w:rPr>
        <w:t>（</w:t>
      </w:r>
      <w:r>
        <w:rPr>
          <w:rFonts w:hint="eastAsia" w:ascii="仿宋" w:hAnsi="仿宋" w:eastAsia="仿宋"/>
          <w:b w:val="0"/>
          <w:bCs w:val="0"/>
          <w:color w:val="000000" w:themeColor="text1"/>
          <w:lang w:val="en-US" w:eastAsia="zh-CN"/>
          <w14:textFill>
            <w14:solidFill>
              <w14:schemeClr w14:val="tx1"/>
            </w14:solidFill>
          </w14:textFill>
        </w:rPr>
        <w:t>2</w:t>
      </w:r>
      <w:r>
        <w:rPr>
          <w:rFonts w:hint="eastAsia" w:ascii="仿宋" w:hAnsi="仿宋" w:eastAsia="仿宋"/>
          <w:b w:val="0"/>
          <w:bCs w:val="0"/>
          <w:color w:val="000000" w:themeColor="text1"/>
          <w:lang w:eastAsia="zh-CN"/>
          <w14:textFill>
            <w14:solidFill>
              <w14:schemeClr w14:val="tx1"/>
            </w14:solidFill>
          </w14:textFill>
        </w:rPr>
        <w:t>）</w:t>
      </w:r>
      <w:r>
        <w:rPr>
          <w:rFonts w:hint="eastAsia" w:ascii="仿宋" w:hAnsi="仿宋" w:eastAsia="仿宋"/>
          <w:b w:val="0"/>
          <w:bCs w:val="0"/>
          <w:color w:val="000000" w:themeColor="text1"/>
          <w14:textFill>
            <w14:solidFill>
              <w14:schemeClr w14:val="tx1"/>
            </w14:solidFill>
          </w14:textFill>
        </w:rPr>
        <w:t>实操环节：</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税务技能竞赛实操环节竞赛与理论环节同场地、在局域网环境下使用税务竞赛平台进行，竞赛软件采用税务实训平台、竞赛硬件使用实训宝设备。</w:t>
      </w:r>
    </w:p>
    <w:p>
      <w:pPr>
        <w:spacing w:line="240" w:lineRule="auto"/>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*评分功能如下：开票系统由选手操作时保存该题发票即可自动获得该题分数。</w:t>
      </w:r>
      <w:r>
        <w:rPr>
          <w:rFonts w:hint="eastAsia" w:ascii="仿宋" w:hAnsi="仿宋" w:eastAsia="仿宋" w:cs="Arial"/>
          <w:b/>
          <w:color w:val="000000" w:themeColor="text1"/>
          <w:kern w:val="0"/>
          <w:szCs w:val="28"/>
          <w14:textFill>
            <w14:solidFill>
              <w14:schemeClr w14:val="tx1"/>
            </w14:solidFill>
          </w14:textFill>
        </w:rPr>
        <w:t>所有竞赛模块操作完成后，即可点击系统中评分按钮，届时系统提示评分成功，方可获得该项目分数</w:t>
      </w:r>
      <w:r>
        <w:rPr>
          <w:rFonts w:hint="eastAsia" w:ascii="仿宋" w:hAnsi="仿宋" w:eastAsia="仿宋" w:cs="Arial"/>
          <w:color w:val="000000" w:themeColor="text1"/>
          <w:kern w:val="0"/>
          <w:szCs w:val="28"/>
          <w14:textFill>
            <w14:solidFill>
              <w14:schemeClr w14:val="tx1"/>
            </w14:solidFill>
          </w14:textFill>
        </w:rPr>
        <w:t>。</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九、评分标准</w:t>
      </w:r>
      <w:bookmarkEnd w:id="24"/>
    </w:p>
    <w:p>
      <w:pPr>
        <w:ind w:firstLine="420" w:firstLineChars="15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1.一般纳税人增值税发票的开具,具体评分点如下：</w:t>
      </w:r>
    </w:p>
    <w:p>
      <w:pPr>
        <w:ind w:firstLine="420" w:firstLineChars="150"/>
        <w:rPr>
          <w:rFonts w:ascii="仿宋" w:hAnsi="仿宋" w:eastAsia="仿宋" w:cs="Arial"/>
          <w:color w:val="000000" w:themeColor="text1"/>
          <w:kern w:val="0"/>
          <w:szCs w:val="28"/>
          <w14:textFill>
            <w14:solidFill>
              <w14:schemeClr w14:val="tx1"/>
            </w14:solidFill>
          </w14:textFill>
        </w:rPr>
      </w:pPr>
    </w:p>
    <w:tbl>
      <w:tblPr>
        <w:tblStyle w:val="23"/>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0" w:firstLineChars="0"/>
              <w:jc w:val="center"/>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序号</w:t>
            </w:r>
          </w:p>
        </w:tc>
        <w:tc>
          <w:tcPr>
            <w:tcW w:w="7137" w:type="dxa"/>
          </w:tcPr>
          <w:p>
            <w:pPr>
              <w:snapToGrid w:val="0"/>
              <w:spacing w:line="24" w:lineRule="atLeast"/>
              <w:ind w:firstLine="422"/>
              <w:jc w:val="center"/>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增值税发票的开具系统自动评分点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购买方名称填写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购买方纳税人识别号填写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购买方地址电话填写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购买方开户行及账号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商品名称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商品型号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商品数量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商品单价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商品金额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清单发票开具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红字发票信息表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发票作废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w:t>
            </w:r>
          </w:p>
        </w:tc>
        <w:tc>
          <w:tcPr>
            <w:tcW w:w="7137" w:type="dxa"/>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备注区填写</w:t>
            </w:r>
          </w:p>
        </w:tc>
      </w:tr>
    </w:tbl>
    <w:p>
      <w:pPr>
        <w:snapToGrid w:val="0"/>
        <w:spacing w:line="24" w:lineRule="atLeast"/>
        <w:ind w:firstLine="600"/>
        <w:jc w:val="left"/>
        <w:rPr>
          <w:rFonts w:ascii="仿宋" w:hAnsi="仿宋" w:eastAsia="仿宋" w:cs="Arial"/>
          <w:color w:val="000000" w:themeColor="text1"/>
          <w:kern w:val="0"/>
          <w:sz w:val="30"/>
          <w:szCs w:val="30"/>
          <w14:textFill>
            <w14:solidFill>
              <w14:schemeClr w14:val="tx1"/>
            </w14:solidFill>
          </w14:textFill>
        </w:rPr>
      </w:pPr>
      <w:r>
        <w:rPr>
          <w:rFonts w:hint="eastAsia" w:ascii="仿宋" w:hAnsi="仿宋" w:eastAsia="仿宋" w:cs="Arial"/>
          <w:color w:val="000000" w:themeColor="text1"/>
          <w:kern w:val="0"/>
          <w:sz w:val="30"/>
          <w:szCs w:val="30"/>
          <w14:textFill>
            <w14:solidFill>
              <w14:schemeClr w14:val="tx1"/>
            </w14:solidFill>
          </w14:textFill>
        </w:rPr>
        <w:t>2.一般纳税人增值税网上申报为系统评分，具体评分点如下：</w:t>
      </w:r>
    </w:p>
    <w:tbl>
      <w:tblPr>
        <w:tblStyle w:val="23"/>
        <w:tblW w:w="8414" w:type="dxa"/>
        <w:tblInd w:w="37" w:type="dxa"/>
        <w:tblLayout w:type="fixed"/>
        <w:tblCellMar>
          <w:top w:w="0" w:type="dxa"/>
          <w:left w:w="108" w:type="dxa"/>
          <w:bottom w:w="0" w:type="dxa"/>
          <w:right w:w="108" w:type="dxa"/>
        </w:tblCellMar>
      </w:tblPr>
      <w:tblGrid>
        <w:gridCol w:w="1232"/>
        <w:gridCol w:w="7182"/>
      </w:tblGrid>
      <w:tr>
        <w:tblPrEx>
          <w:tblLayout w:type="fixed"/>
          <w:tblCellMar>
            <w:top w:w="0" w:type="dxa"/>
            <w:left w:w="108" w:type="dxa"/>
            <w:bottom w:w="0" w:type="dxa"/>
            <w:right w:w="108" w:type="dxa"/>
          </w:tblCellMar>
        </w:tblPrEx>
        <w:trPr>
          <w:trHeight w:val="285" w:hRule="atLeast"/>
        </w:trPr>
        <w:tc>
          <w:tcPr>
            <w:tcW w:w="1232" w:type="dxa"/>
            <w:tcBorders>
              <w:top w:val="single" w:color="auto" w:sz="4" w:space="0"/>
              <w:left w:val="single" w:color="auto" w:sz="4" w:space="0"/>
              <w:bottom w:val="single" w:color="auto" w:sz="4" w:space="0"/>
              <w:right w:val="single" w:color="auto" w:sz="4" w:space="0"/>
            </w:tcBorders>
            <w:vAlign w:val="center"/>
          </w:tcPr>
          <w:p>
            <w:pPr>
              <w:snapToGrid w:val="0"/>
              <w:spacing w:line="24" w:lineRule="atLeast"/>
              <w:ind w:firstLine="211" w:firstLineChars="100"/>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序号</w:t>
            </w:r>
          </w:p>
        </w:tc>
        <w:tc>
          <w:tcPr>
            <w:tcW w:w="7182" w:type="dxa"/>
            <w:tcBorders>
              <w:top w:val="single" w:color="auto" w:sz="8" w:space="0"/>
              <w:left w:val="nil"/>
              <w:bottom w:val="single" w:color="auto" w:sz="8" w:space="0"/>
              <w:right w:val="single" w:color="auto" w:sz="8" w:space="0"/>
            </w:tcBorders>
            <w:vAlign w:val="center"/>
          </w:tcPr>
          <w:p>
            <w:pPr>
              <w:snapToGrid w:val="0"/>
              <w:spacing w:line="24" w:lineRule="atLeast"/>
              <w:ind w:firstLine="422"/>
              <w:jc w:val="left"/>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一般纳税人增值税网上申报系统自动评分点</w:t>
            </w:r>
          </w:p>
        </w:tc>
      </w:tr>
      <w:tr>
        <w:tblPrEx>
          <w:tblLayout w:type="fixed"/>
          <w:tblCellMar>
            <w:top w:w="0" w:type="dxa"/>
            <w:left w:w="108" w:type="dxa"/>
            <w:bottom w:w="0" w:type="dxa"/>
            <w:right w:w="108" w:type="dxa"/>
          </w:tblCellMar>
        </w:tblPrEx>
        <w:trPr>
          <w:trHeight w:val="285" w:hRule="atLeast"/>
        </w:trPr>
        <w:tc>
          <w:tcPr>
            <w:tcW w:w="1232" w:type="dxa"/>
            <w:tcBorders>
              <w:top w:val="single" w:color="auto" w:sz="4" w:space="0"/>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w:t>
            </w:r>
          </w:p>
        </w:tc>
        <w:tc>
          <w:tcPr>
            <w:tcW w:w="7182" w:type="dxa"/>
            <w:tcBorders>
              <w:top w:val="single" w:color="auto" w:sz="8" w:space="0"/>
              <w:left w:val="nil"/>
              <w:bottom w:val="single" w:color="auto" w:sz="8" w:space="0"/>
              <w:right w:val="single" w:color="auto" w:sz="8"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一般货物、劳务和应税服务按适用税率计税销售额</w:t>
            </w:r>
          </w:p>
        </w:tc>
      </w:tr>
      <w:tr>
        <w:tblPrEx>
          <w:tblLayout w:type="fixed"/>
          <w:tblCellMar>
            <w:top w:w="0" w:type="dxa"/>
            <w:left w:w="108" w:type="dxa"/>
            <w:bottom w:w="0" w:type="dxa"/>
            <w:right w:w="108" w:type="dxa"/>
          </w:tblCellMar>
        </w:tblPrEx>
        <w:trPr>
          <w:trHeight w:val="90"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w:t>
            </w:r>
          </w:p>
        </w:tc>
        <w:tc>
          <w:tcPr>
            <w:tcW w:w="7182" w:type="dxa"/>
            <w:tcBorders>
              <w:top w:val="nil"/>
              <w:left w:val="nil"/>
              <w:bottom w:val="single" w:color="auto" w:sz="8" w:space="0"/>
              <w:right w:val="single" w:color="auto" w:sz="8"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即征即退货物、劳务和应税服务按适用税率计税销售额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w:t>
            </w:r>
          </w:p>
        </w:tc>
        <w:tc>
          <w:tcPr>
            <w:tcW w:w="7182" w:type="dxa"/>
            <w:tcBorders>
              <w:top w:val="nil"/>
              <w:left w:val="nil"/>
              <w:bottom w:val="single" w:color="auto" w:sz="8" w:space="0"/>
              <w:right w:val="single" w:color="auto" w:sz="8"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即征即退货物、劳务和应税服务应税货物销售额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一般货物、劳务和应税服务应税劳务销售额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即征即退货物、劳务和应税服务应税劳务销售额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一般货物、劳务和应税服务纳税检查调整的销售额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w:t>
            </w:r>
          </w:p>
        </w:tc>
        <w:tc>
          <w:tcPr>
            <w:tcW w:w="7182" w:type="dxa"/>
            <w:tcBorders>
              <w:top w:val="nil"/>
              <w:left w:val="nil"/>
              <w:bottom w:val="single" w:color="auto" w:sz="8" w:space="0"/>
              <w:right w:val="single" w:color="auto" w:sz="8"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即征即退货物、劳务和应税服务纳税检查调整的销售额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一般货物、劳务和应税服务按简易办法计税销售额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即征即退货物、劳务和应税服务按简易办法计税销售额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一般货物、劳务和应税服务免、抵、退办法出口销售额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即征即退货物、劳务和应税服务免、抵、退办法出口销售额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即征即退货物、劳务和应税服务免税销售额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一般货物、劳务和应税服务免税货物销售额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即征即退货物、劳务和应税服务免税货物销售额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一般货物、劳务和应税服务免税劳务销售额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即征即退货物、劳务和应税服务免税劳务销售额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一般货物、劳务和应税服务销项税额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即征即退货物、劳务和应税服务销项税额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一般货物、劳务和应税服务进项税额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即征即退货物、劳务和应税服务进项税额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一般货物、劳务和应税服务上期留抵税额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即征即退货物、劳务和应税服务上期留抵税额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一般货物、劳务和应税服务进项税额转出</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即征即退货物、劳务和应税服务进项税额转出</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一般货物、劳务和应税服务免、抵、退应退税额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即征即退货物、劳务和应税服务免、抵、退应退税额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一般货物、劳务和应税服务按适用税率计算的纳税检查应补缴税额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即征即退货物、劳务和应税服务按适用税率计算的纳税检查应补缴税额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一般货物、劳务和应税服务应抵扣税额合计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即征即退货物、劳务和应税服务应抵扣税额合计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一般货物、劳务和应税服务实际抵扣税额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即征即退货物、劳务和应税服务实际抵扣税额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一般货物、劳务和应税服务应纳税额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即征即退货物、劳务和应税服务应纳税额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一般货物、劳务和应税服务期末留抵税额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即征即退货物、劳务和应税服务期末留抵税额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一般货物、劳务和应税服务简易计税办法计算的应纳税额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即征即退货物、劳务和应税服务简易计税办法计算的应纳税额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一般货物、劳务和应税服务按简易计税办法计算的纳税检查应补缴税额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即征即退货物、劳务和应税服务按简易计税办法计算的纳税检查应补缴税额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一般货物、劳务和应税服务应纳税额减征额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即征即退货物、劳务和应税服务应纳税额减征额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一般货物、劳务和应税服务应纳税额合计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即征即退货物、劳务和应税服务应纳税额合计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一般货物、劳务和应税服务期末未缴税额（多缴为负数）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即征即退货物、劳务和应税服务期末未缴税额（多缴为负数）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一般货物、劳务和应税服务本期应补(退)税额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即征即退货物、劳务和应税服务本期应补(退)税额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免抵退税货物及加工修理修配劳务开具其他发票销售额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免抵退税货物及加工修理修配劳务未开具发票销售额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免税货物及加工修理修配劳务开具其他发票销售额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免税货物及加工修理修配劳务未开具发票销售额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申报抵扣的进项税额认证相符的税控增值税专用发票份数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申报抵扣的进项税额认证相符的税控增值税专用发票金额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申报抵扣的进项税额认证相符的税控增值税专用发票税额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申报抵扣的进项税额本期认证相符且本期申报抵扣份数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申报抵扣的进项税额本期认证相符且本期申报抵扣金额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申报抵扣的进项税额本期认证相符且本期申报抵扣税额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申报抵扣的进项税额前期认证相符且本期申报抵扣份数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申报抵扣的进项税额前期认证相符且本期申报抵扣金额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申报抵扣的进项税额前期认证相符且本期申报抵扣税额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申报抵扣的进项税额海关进口增值税专用缴款书份数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申报抵扣的进项税额海关进口增值税专用缴款书金额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申报抵扣的进项税额海关进口增值税专用缴款书税额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申报抵扣的进项税额农产品收购发票或者销售发票份数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申报抵扣的进项税额农产品收购发票或者销售发票金额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申报抵扣的进项税额农产品收购发票或者销售发票税额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申报抵扣的进项税额代扣代缴税收缴款凭证份数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申报抵扣的进项税额代扣代缴税收缴款凭证金额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申报抵扣的进项税额代扣代缴税收缴款凭证税额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申报抵扣的进项税额运输费用结算单据份数</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申报抵扣的进项税额运输费用结算单据金额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申报抵扣的进项税额运输费用结算单据税额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进项税额转出额本期进项税转出额税额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进项税额转出额免税项目用税额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进项税额转出额非应税项目用、集体福利、个人消费税额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进项税额转出额非正常损失税额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进项税额转出额简易计税方法征税项目用税额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进项税额转出额免抵退税办法不得抵扣的进项税额税额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进项税额转出额纳税检查调减进项税额税额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进项税额转出额红字专用发票通知单注明的进项税额税额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进项税额转出额上期留抵税额抵减欠税税额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进项税额转出额上期留抵税额退税税额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88</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进项税额转出额其他应作进项税额转出的情形税额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89</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增值税税控系统专用设备费及技术维护费本期发生额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90</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增值税税控系统专用设备费及技术维护费本期应抵减税额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91</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增值税税控系统专用设备费及技术维护费本期实际抵减税额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92</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增值税税控系统专用设备费及技术维护费期末余额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93</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增值税专用发票当期申报抵扣的固定资产进项税额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94</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增值税专用发票申报抵扣的固定资产进项税额累计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95</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海关进口增值税专用缴款书当期申报抵扣的固定资产进项税额</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96</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海关进口增值税专用缴款书申报抵扣的固定资产进项税额累计</w:t>
            </w:r>
          </w:p>
        </w:tc>
      </w:tr>
      <w:tr>
        <w:tblPrEx>
          <w:tblLayout w:type="fixed"/>
          <w:tblCellMar>
            <w:top w:w="0" w:type="dxa"/>
            <w:left w:w="108" w:type="dxa"/>
            <w:bottom w:w="0" w:type="dxa"/>
            <w:right w:w="108" w:type="dxa"/>
          </w:tblCellMar>
        </w:tblPrEx>
        <w:trPr>
          <w:trHeight w:val="285" w:hRule="atLeast"/>
        </w:trPr>
        <w:tc>
          <w:tcPr>
            <w:tcW w:w="1232"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97</w:t>
            </w:r>
          </w:p>
        </w:tc>
        <w:tc>
          <w:tcPr>
            <w:tcW w:w="7182" w:type="dxa"/>
            <w:tcBorders>
              <w:top w:val="nil"/>
              <w:left w:val="nil"/>
              <w:bottom w:val="single" w:color="auto" w:sz="8" w:space="0"/>
              <w:right w:val="single" w:color="auto" w:sz="8" w:space="0"/>
            </w:tcBorders>
            <w:vAlign w:val="center"/>
          </w:tcPr>
          <w:p>
            <w:pPr>
              <w:snapToGrid w:val="0"/>
              <w:spacing w:line="24" w:lineRule="atLeast"/>
              <w:ind w:firstLine="420"/>
              <w:jc w:val="left"/>
              <w:rPr>
                <w:rFonts w:hint="default" w:ascii="仿宋" w:hAnsi="仿宋" w:eastAsia="仿宋" w:cs="Arial"/>
                <w:color w:val="000000" w:themeColor="text1"/>
                <w:kern w:val="0"/>
                <w:sz w:val="21"/>
                <w:szCs w:val="21"/>
                <w:lang w:val="en-US"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w:t>
            </w:r>
          </w:p>
        </w:tc>
      </w:tr>
    </w:tbl>
    <w:p>
      <w:pPr>
        <w:ind w:firstLine="600"/>
        <w:rPr>
          <w:rFonts w:ascii="仿宋" w:hAnsi="仿宋" w:eastAsia="仿宋" w:cs="Arial"/>
          <w:color w:val="000000" w:themeColor="text1"/>
          <w:kern w:val="0"/>
          <w:sz w:val="30"/>
          <w:szCs w:val="30"/>
          <w14:textFill>
            <w14:solidFill>
              <w14:schemeClr w14:val="tx1"/>
            </w14:solidFill>
          </w14:textFill>
        </w:rPr>
      </w:pPr>
      <w:r>
        <w:rPr>
          <w:rFonts w:hint="eastAsia" w:ascii="仿宋" w:hAnsi="仿宋" w:eastAsia="仿宋" w:cs="Arial"/>
          <w:color w:val="000000" w:themeColor="text1"/>
          <w:kern w:val="0"/>
          <w:sz w:val="30"/>
          <w:szCs w:val="30"/>
          <w14:textFill>
            <w14:solidFill>
              <w14:schemeClr w14:val="tx1"/>
            </w14:solidFill>
          </w14:textFill>
        </w:rPr>
        <w:t>3.财务报表填写及网上报送，具体评分点如下：</w:t>
      </w:r>
    </w:p>
    <w:tbl>
      <w:tblPr>
        <w:tblStyle w:val="23"/>
        <w:tblW w:w="8940" w:type="dxa"/>
        <w:tblInd w:w="0" w:type="dxa"/>
        <w:tblLayout w:type="fixed"/>
        <w:tblCellMar>
          <w:top w:w="0" w:type="dxa"/>
          <w:left w:w="0" w:type="dxa"/>
          <w:bottom w:w="0" w:type="dxa"/>
          <w:right w:w="0" w:type="dxa"/>
        </w:tblCellMar>
      </w:tblPr>
      <w:tblGrid>
        <w:gridCol w:w="1080"/>
        <w:gridCol w:w="7860"/>
      </w:tblGrid>
      <w:tr>
        <w:tblPrEx>
          <w:tblLayout w:type="fixed"/>
          <w:tblCellMar>
            <w:top w:w="0" w:type="dxa"/>
            <w:left w:w="0" w:type="dxa"/>
            <w:bottom w:w="0" w:type="dxa"/>
            <w:right w:w="0" w:type="dxa"/>
          </w:tblCellMar>
        </w:tblPrEx>
        <w:trPr>
          <w:trHeight w:val="283" w:hRule="exac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pStyle w:val="46"/>
              <w:numPr>
                <w:ilvl w:val="0"/>
                <w:numId w:val="2"/>
              </w:numPr>
              <w:adjustRightInd w:val="0"/>
              <w:snapToGrid w:val="0"/>
              <w:ind w:firstLineChars="0"/>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序号</w:t>
            </w:r>
          </w:p>
        </w:tc>
        <w:tc>
          <w:tcPr>
            <w:tcW w:w="78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210" w:firstLineChars="10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资产负债表系统自动评分点</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货币资金-年初余额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货币资金-期末余额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交易性金融资产-年初余额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交易性金融资产-期末余额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应收票据及应收账款-年初余额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应收票据及应收账款-期末余额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adjustRightInd w:val="0"/>
              <w:snapToGrid w:val="0"/>
              <w:spacing w:line="240" w:lineRule="auto"/>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预付款项-年初余额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预付款项-期末余额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其他应收款-年初余额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其他应收款-期末余额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存货-年初余额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存货-期末余额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一年内到期的非流动资产-年初余额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一年内到期的非流动资产-期末余额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其他流动资产-年初余额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其他流动资产-期末余额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债券投资-年初余额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债券投资-期末余额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19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其他债券投资-年初余额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其他债券投资-期末余额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长期应收款-年初余额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长期应收款-期末余额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长期股权投资-年初余额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长期股权投资-期末余额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其他权益工具投资-年初余额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其他权益工具投资-期末余额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其他非流动金融资产-年初余额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其他非流动金融资产-期末余额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29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投资性房地产-年初余额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投资性房地产-期末余额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固定资产-年初余额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固定资产-期末余额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在建工程-年初余额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在建工程-期末余额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生产性生物资产-年初余额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生产性生物资产-期末余额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油气资产-年初余额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油气资产-期末余额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39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无形资产-年初余额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无形资产-期末余额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开发支出-年初余额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开发支出-期末余额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商誉-年初余额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商誉-期末余额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长期待摊费用-年初余额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长期待摊费用-期末余额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递延所得税资产-年初余额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递延所得税资产-期末余额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49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其他非流动资产-年初余额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其他非流动资产-期末余额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短期借款-年初余额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短期借款-期末余额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交易性金融负债-年初余额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交易性金融负债-期末余额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应付票据及应付账款-年初余额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应付票据及应付账款-期末余额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预收账款-年初余额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预收账款-期末余额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59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合同负债-年初余额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合同负债-期末余额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应付职工薪酬-年初余额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应付职工薪酬-期末余额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应交税费-年初余额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应交税费-期末余额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其他应付款-年初余额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其他应付款-期末余额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持有待售负债-年初余额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持有待售负债-期末余额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69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一年内到期的非流动负债-年初余额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一年内到期的非流动负债-期末余额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其他流动负债-年初余额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其他流动负债-期末余额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长期借款-年初余额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长期借款-期末余额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应付债券-年初余额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应付债券-期末余额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长期应付款-年初余额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长期应付款-期末余额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79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预计负债-年初余额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预计负债-期末余额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递延收益-年初余额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递延收益-期末余额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递延所得税负债-年初余额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递延所得税负债-期末余额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其他非流动负债-年初余额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其他非流动负债-期末余额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实收资本（或股本）-年初余额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实收资本（或股本）-期末余额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89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资本公积-年初余额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资本公积-期末余额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盈余公积-年初余额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盈余公积-期末余额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未分配利润-年初余额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center"/>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94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未分配利润-期末余额</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2"/>
              <w:jc w:val="center"/>
              <w:textAlignment w:val="top"/>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bidi="ar"/>
                <w14:textFill>
                  <w14:solidFill>
                    <w14:schemeClr w14:val="tx1"/>
                  </w14:solidFill>
                </w14:textFill>
              </w:rPr>
              <w:t>序号</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211" w:firstLineChars="100"/>
              <w:textAlignment w:val="top"/>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bidi="ar"/>
                <w14:textFill>
                  <w14:solidFill>
                    <w14:schemeClr w14:val="tx1"/>
                  </w14:solidFill>
                </w14:textFill>
              </w:rPr>
              <w:t>利润表系统自动评分点</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营业收入-本月数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营业收入-本年累计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营业成本-本月数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营业成本-本年累计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税金及附加-本月数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税金及附加-本年累计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销售费用-本月数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销售费用-本年累计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管理费用-本月数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管理费用-本年累计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研发费用-本月数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研发费用-本年累计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财务费用-本月数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财务费用-本年累计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资产减值损失-本月数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资产减值损失-本年累计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信用减值损失-本月数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信用减值损失-本年累计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公允价值变得收益-本月数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公允价值变得收益-本年累计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资产处置收益-本月数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资产处置收益-本年累计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23</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投资收益-本月数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24</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投资收益-本年累计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25</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营业外收入-本月数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26</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营业外收入-本年累计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27</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营业外支出-本月数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28</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营业外支出-本年累计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29</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所得税费用-本月数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30</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所得税费用-本年累计</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31</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净利润-本月数</w:t>
            </w:r>
          </w:p>
        </w:tc>
      </w:tr>
      <w:tr>
        <w:tblPrEx>
          <w:tblLayout w:type="fixed"/>
          <w:tblCellMar>
            <w:top w:w="0" w:type="dxa"/>
            <w:left w:w="0" w:type="dxa"/>
            <w:bottom w:w="0" w:type="dxa"/>
            <w:right w:w="0" w:type="dxa"/>
          </w:tblCellMar>
        </w:tblPrEx>
        <w:trPr>
          <w:trHeight w:val="283" w:hRule="exac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adjustRightInd w:val="0"/>
              <w:snapToGrid w:val="0"/>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32</w:t>
            </w:r>
          </w:p>
        </w:tc>
        <w:tc>
          <w:tcPr>
            <w:tcW w:w="786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adjustRightInd w:val="0"/>
              <w:snapToGrid w:val="0"/>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净利润-本年累计</w:t>
            </w:r>
          </w:p>
        </w:tc>
      </w:tr>
    </w:tbl>
    <w:p>
      <w:pPr>
        <w:adjustRightInd w:val="0"/>
        <w:snapToGrid w:val="0"/>
        <w:spacing w:line="240" w:lineRule="auto"/>
        <w:ind w:firstLine="560"/>
      </w:pPr>
    </w:p>
    <w:p>
      <w:pPr>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4.个人所得税代扣代缴审核与再申报，具体评分点如下：</w:t>
      </w:r>
    </w:p>
    <w:tbl>
      <w:tblPr>
        <w:tblStyle w:val="23"/>
        <w:tblW w:w="8959" w:type="dxa"/>
        <w:tblInd w:w="0" w:type="dxa"/>
        <w:tblLayout w:type="fixed"/>
        <w:tblCellMar>
          <w:top w:w="0" w:type="dxa"/>
          <w:left w:w="0" w:type="dxa"/>
          <w:bottom w:w="0" w:type="dxa"/>
          <w:right w:w="0" w:type="dxa"/>
        </w:tblCellMar>
      </w:tblPr>
      <w:tblGrid>
        <w:gridCol w:w="1080"/>
        <w:gridCol w:w="7879"/>
      </w:tblGrid>
      <w:tr>
        <w:tblPrEx>
          <w:tblLayout w:type="fixed"/>
          <w:tblCellMar>
            <w:top w:w="0" w:type="dxa"/>
            <w:left w:w="0" w:type="dxa"/>
            <w:bottom w:w="0" w:type="dxa"/>
            <w:right w:w="0" w:type="dxa"/>
          </w:tblCellMar>
        </w:tblPrEx>
        <w:trPr>
          <w:trHeight w:val="56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0" w:firstLineChars="0"/>
              <w:jc w:val="center"/>
              <w:textAlignment w:val="top"/>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bidi="ar"/>
                <w14:textFill>
                  <w14:solidFill>
                    <w14:schemeClr w14:val="tx1"/>
                  </w14:solidFill>
                </w14:textFill>
              </w:rPr>
              <w:t>序号</w:t>
            </w:r>
          </w:p>
        </w:tc>
        <w:tc>
          <w:tcPr>
            <w:tcW w:w="787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2"/>
              <w:jc w:val="left"/>
              <w:textAlignment w:val="top"/>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bidi="ar"/>
                <w14:textFill>
                  <w14:solidFill>
                    <w14:schemeClr w14:val="tx1"/>
                  </w14:solidFill>
                </w14:textFill>
              </w:rPr>
              <w:t>自然人税收管理系统扣缴客户端</w:t>
            </w:r>
            <w:r>
              <w:rPr>
                <w:rStyle w:val="48"/>
                <w:rFonts w:hint="default"/>
                <w:color w:val="000000" w:themeColor="text1"/>
                <w:sz w:val="21"/>
                <w:szCs w:val="21"/>
                <w:lang w:bidi="ar"/>
                <w14:textFill>
                  <w14:solidFill>
                    <w14:schemeClr w14:val="tx1"/>
                  </w14:solidFill>
                </w14:textFill>
              </w:rPr>
              <w:t>评分点</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630" w:firstLineChars="300"/>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综合所得预扣预缴表_正常工资薪金所得_人数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w:t>
            </w:r>
            <w:r>
              <w:rPr>
                <w:rStyle w:val="49"/>
                <w:rFonts w:hint="default"/>
                <w:color w:val="000000" w:themeColor="text1"/>
                <w:sz w:val="21"/>
                <w:szCs w:val="21"/>
                <w:lang w:bidi="ar"/>
                <w14:textFill>
                  <w14:solidFill>
                    <w14:schemeClr w14:val="tx1"/>
                  </w14:solidFill>
                </w14:textFill>
              </w:rPr>
              <w:t>-正常工资薪金所得_累计收入额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3</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w:t>
            </w:r>
            <w:r>
              <w:rPr>
                <w:rStyle w:val="49"/>
                <w:rFonts w:hint="default"/>
                <w:color w:val="000000" w:themeColor="text1"/>
                <w:sz w:val="21"/>
                <w:szCs w:val="21"/>
                <w:lang w:bidi="ar"/>
                <w14:textFill>
                  <w14:solidFill>
                    <w14:schemeClr w14:val="tx1"/>
                  </w14:solidFill>
                </w14:textFill>
              </w:rPr>
              <w:t>-正常工资薪金所得_应补（退）税额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4</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综合所得预扣预缴表-全年一次性奖金收入_人数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5</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综合所得预扣预缴表-全年一次性奖金收入</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6</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w:t>
            </w:r>
            <w:r>
              <w:rPr>
                <w:rStyle w:val="49"/>
                <w:rFonts w:hint="default"/>
                <w:color w:val="000000" w:themeColor="text1"/>
                <w:sz w:val="21"/>
                <w:szCs w:val="21"/>
                <w:lang w:bidi="ar"/>
                <w14:textFill>
                  <w14:solidFill>
                    <w14:schemeClr w14:val="tx1"/>
                  </w14:solidFill>
                </w14:textFill>
              </w:rPr>
              <w:t>-提前退休一次性补贴_人数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7</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w:t>
            </w:r>
            <w:r>
              <w:rPr>
                <w:rStyle w:val="49"/>
                <w:rFonts w:hint="default"/>
                <w:color w:val="000000" w:themeColor="text1"/>
                <w:sz w:val="21"/>
                <w:szCs w:val="21"/>
                <w:lang w:bidi="ar"/>
                <w14:textFill>
                  <w14:solidFill>
                    <w14:schemeClr w14:val="tx1"/>
                  </w14:solidFill>
                </w14:textFill>
              </w:rPr>
              <w:t>-提前退休一次性补贴_应补（退）税额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8</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综合所得预扣预缴表-解除劳动合同一次性补偿金_人数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9</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综合所得预扣预缴表-解除劳动合同一次性补偿金</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10</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综合所得预扣预缴表-个人股票期权行权收入_人数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11</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综合所得预扣预缴表-个人股票期权行权收入</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12</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综合所得预扣预缴表-劳务报酬所得_人数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13</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综合所得预扣预缴表-劳务报酬所得</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14</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综合所得预扣预缴表-稿酬所得_人数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15</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综合所得预扣预缴表-稿酬所得</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16</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综合所得预扣预缴表-特许使用权费所得_人数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17</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综合所得预扣预缴表-特许使用权费所得</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18</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分类所得代扣代缴-利息/股息/红利所得_人数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19</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分类所得代扣代缴-利息/股息/红利所得</w:t>
            </w:r>
            <w:r>
              <w:rPr>
                <w:rStyle w:val="49"/>
                <w:rFonts w:hint="default"/>
                <w:color w:val="000000" w:themeColor="text1"/>
                <w:sz w:val="21"/>
                <w:szCs w:val="21"/>
                <w:lang w:bidi="ar"/>
                <w14:textFill>
                  <w14:solidFill>
                    <w14:schemeClr w14:val="tx1"/>
                  </w14:solidFill>
                </w14:textFill>
              </w:rPr>
              <w:t>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20</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-其他财产租赁所得_人数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21</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-其他财产租赁所得_应补（退）税额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22</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-财产拍卖所得及回流文物拍卖所得_人数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23</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-财产拍卖所得及回流文物拍卖所得_应补（退）税额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24</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-股权转让所得_人数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25</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-股权转让所得_应补（退）税额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26</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-其他财产转让所得_人数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27</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w:t>
            </w:r>
            <w:r>
              <w:rPr>
                <w:rStyle w:val="49"/>
                <w:rFonts w:hint="default"/>
                <w:color w:val="000000" w:themeColor="text1"/>
                <w:sz w:val="21"/>
                <w:szCs w:val="21"/>
                <w:lang w:bidi="ar"/>
                <w14:textFill>
                  <w14:solidFill>
                    <w14:schemeClr w14:val="tx1"/>
                  </w14:solidFill>
                </w14:textFill>
              </w:rPr>
              <w:t>-其他财产转让所得_应补（退）税额</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28</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分类所得代扣代缴-偶然所得_人数</w:t>
            </w:r>
          </w:p>
        </w:tc>
      </w:tr>
      <w:tr>
        <w:tblPrEx>
          <w:tblLayout w:type="fixed"/>
          <w:tblCellMar>
            <w:top w:w="0" w:type="dxa"/>
            <w:left w:w="0" w:type="dxa"/>
            <w:bottom w:w="0" w:type="dxa"/>
            <w:right w:w="0" w:type="dxa"/>
          </w:tblCellMar>
        </w:tblPrEx>
        <w:trPr>
          <w:trHeight w:val="5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420"/>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29</w:t>
            </w:r>
          </w:p>
        </w:tc>
        <w:tc>
          <w:tcPr>
            <w:tcW w:w="7879"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spacing w:line="240" w:lineRule="auto"/>
              <w:ind w:firstLine="420"/>
              <w:jc w:val="lef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分类所得代扣代缴-偶然所得</w:t>
            </w:r>
            <w:r>
              <w:rPr>
                <w:rStyle w:val="49"/>
                <w:rFonts w:hint="default"/>
                <w:color w:val="000000" w:themeColor="text1"/>
                <w:sz w:val="21"/>
                <w:szCs w:val="21"/>
                <w:lang w:bidi="ar"/>
                <w14:textFill>
                  <w14:solidFill>
                    <w14:schemeClr w14:val="tx1"/>
                  </w14:solidFill>
                </w14:textFill>
              </w:rPr>
              <w:t>_应补（退）税额</w:t>
            </w:r>
          </w:p>
        </w:tc>
      </w:tr>
    </w:tbl>
    <w:p>
      <w:pPr>
        <w:ind w:firstLine="0" w:firstLineChars="0"/>
        <w:rPr>
          <w:rFonts w:ascii="仿宋" w:hAnsi="仿宋" w:eastAsia="仿宋" w:cs="Arial"/>
          <w:color w:val="000000" w:themeColor="text1"/>
          <w:kern w:val="0"/>
          <w:szCs w:val="28"/>
          <w14:textFill>
            <w14:solidFill>
              <w14:schemeClr w14:val="tx1"/>
            </w14:solidFill>
          </w14:textFill>
        </w:rPr>
      </w:pPr>
    </w:p>
    <w:p>
      <w:pPr>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5.纳税评估与税收风险点分析，具体评分点如下：</w:t>
      </w:r>
    </w:p>
    <w:p>
      <w:pPr>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案例分析共1个案例，案例将从十大行业中由专家随机抽取一个,行业包括:道路运输业、医疗行业、建筑业、物流行业、娱乐业、软件和信息技术服务业、房地产业、旅游业、制造业等企业。案例涉及增值税、企业所得税、个人所得税、消费税及地税附加的业务内容，根据案例要求进行纳税评估及税收风险点分析、判断、并提出分析及解决方案。</w:t>
      </w:r>
    </w:p>
    <w:p>
      <w:pPr>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6.查账征收企业所得税年度汇算清缴，具体评分点如下：</w:t>
      </w:r>
    </w:p>
    <w:tbl>
      <w:tblPr>
        <w:tblStyle w:val="23"/>
        <w:tblW w:w="8517" w:type="dxa"/>
        <w:tblInd w:w="-66" w:type="dxa"/>
        <w:tblLayout w:type="fixed"/>
        <w:tblCellMar>
          <w:top w:w="0" w:type="dxa"/>
          <w:left w:w="108" w:type="dxa"/>
          <w:bottom w:w="0" w:type="dxa"/>
          <w:right w:w="108" w:type="dxa"/>
        </w:tblCellMar>
      </w:tblPr>
      <w:tblGrid>
        <w:gridCol w:w="1320"/>
        <w:gridCol w:w="7197"/>
      </w:tblGrid>
      <w:tr>
        <w:tblPrEx>
          <w:tblLayout w:type="fixed"/>
          <w:tblCellMar>
            <w:top w:w="0" w:type="dxa"/>
            <w:left w:w="108" w:type="dxa"/>
            <w:bottom w:w="0" w:type="dxa"/>
            <w:right w:w="108" w:type="dxa"/>
          </w:tblCellMar>
        </w:tblPrEx>
        <w:trPr>
          <w:trHeight w:val="328" w:hRule="atLeast"/>
        </w:trPr>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24" w:lineRule="atLeast"/>
              <w:ind w:firstLine="0" w:firstLineChars="0"/>
              <w:jc w:val="center"/>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序号</w:t>
            </w:r>
          </w:p>
        </w:tc>
        <w:tc>
          <w:tcPr>
            <w:tcW w:w="7197" w:type="dxa"/>
            <w:tcBorders>
              <w:top w:val="single" w:color="auto" w:sz="4" w:space="0"/>
              <w:left w:val="nil"/>
              <w:bottom w:val="single" w:color="auto" w:sz="4" w:space="0"/>
              <w:right w:val="single" w:color="auto" w:sz="4" w:space="0"/>
            </w:tcBorders>
            <w:vAlign w:val="center"/>
          </w:tcPr>
          <w:p>
            <w:pPr>
              <w:snapToGrid w:val="0"/>
              <w:spacing w:line="24" w:lineRule="atLeast"/>
              <w:ind w:firstLine="0" w:firstLineChars="0"/>
              <w:rPr>
                <w:rFonts w:ascii="仿宋" w:hAnsi="仿宋" w:eastAsia="仿宋" w:cs="Arial"/>
                <w:b/>
                <w:bCs/>
                <w:color w:val="000000" w:themeColor="text1"/>
                <w:kern w:val="0"/>
                <w:sz w:val="21"/>
                <w:szCs w:val="21"/>
                <w14:textFill>
                  <w14:solidFill>
                    <w14:schemeClr w14:val="tx1"/>
                  </w14:solidFill>
                </w14:textFill>
              </w:rPr>
            </w:pPr>
            <w:r>
              <w:rPr>
                <w:rFonts w:hint="eastAsia" w:ascii="仿宋" w:hAnsi="仿宋" w:eastAsia="仿宋" w:cs="Arial"/>
                <w:b/>
                <w:bCs/>
                <w:color w:val="000000" w:themeColor="text1"/>
                <w:kern w:val="0"/>
                <w:sz w:val="21"/>
                <w:szCs w:val="21"/>
                <w14:textFill>
                  <w14:solidFill>
                    <w14:schemeClr w14:val="tx1"/>
                  </w14:solidFill>
                </w14:textFill>
              </w:rPr>
              <w:t>查账征收企业所得税年度汇算清缴系统自动评分点</w:t>
            </w:r>
          </w:p>
        </w:tc>
      </w:tr>
      <w:tr>
        <w:tblPrEx>
          <w:tblLayout w:type="fixed"/>
          <w:tblCellMar>
            <w:top w:w="0" w:type="dxa"/>
            <w:left w:w="108" w:type="dxa"/>
            <w:bottom w:w="0" w:type="dxa"/>
            <w:right w:w="108" w:type="dxa"/>
          </w:tblCellMar>
        </w:tblPrEx>
        <w:trPr>
          <w:trHeight w:val="270" w:hRule="atLeast"/>
        </w:trPr>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w:t>
            </w:r>
          </w:p>
        </w:tc>
        <w:tc>
          <w:tcPr>
            <w:tcW w:w="7197" w:type="dxa"/>
            <w:tcBorders>
              <w:top w:val="single" w:color="auto" w:sz="4" w:space="0"/>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主表－营业收入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主表－营业成本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主表－税金及附加</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主表－销售费用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主表－管理费用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主表－财务费用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主表－资产减值损失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主表－公允价值变动收益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主表－投资收益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主表－营业外收入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主表－营业外支出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主表－境外所得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主表－纳税调整增加额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主表－纳税调整减少额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主表－免税、减计收入及加计扣除</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主表－境外应税所得抵减境内亏损</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主表－所得减免</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主表－抵扣应纳税所得额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主表－弥补以前年度亏损</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主表－减免所得税额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主表－抵免所得税额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主表－境外所得应纳所得税额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主表－境外所得抵免所得税额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主表－本年累计实际已预缴的所得税额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一般企业收入明细表－销售商品收入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一般企业收入明细表－提供劳务收入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一般企业收入明细表－建造合同收入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一般企业收入明细表－让渡资产使用权收入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一般企业收入明细表－销售材料收入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一般企业收入明细表－出租固定资产收入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一般企业收入明细表－出租无形资产收入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一般企业收入明细表－出租包装物和商品收入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一般企业收入明细表－其他收入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一般企业收入明细表－非流动资产处置利得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一般企业收入明细表－非货币性资产交换利得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一般企业收入明细表－债务重组利得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一般企业收入明细表－政府补助利得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一般企业收入明细表－盘盈利得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39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一般企业收入明细表－捐赠利得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一般企业收入明细表－罚没利得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一般企业收入明细表－确实无法偿付的应付款项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一般企业收入明细表－汇兑收益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一般企业成本支出明细表－其他营业外收入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一般企业成本支出明细表－销售商品成本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一般企业成本支出明细表－提供劳务成本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一般企业成本支出明细表－建造合同成本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一般企业成本支出明细表－让渡资产使用权成本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一般企业成本支出明细表－材料销售成本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49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一般企业成本支出明细表－出租固定资产成本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一般企业成本支出明细表－出租无形资产成本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一般企业成本支出明细表－包装物出租成本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一般企业成本支出明细表－其他成本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一般企业成本支出明细表－非流动资产处置损失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一般企业成本支出明细表－非货币性资产交换损失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一般企业成本支出明细表－债务重组损失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一般企业成本支出明细表－非常损失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一般企业成本支出明细表－捐赠支出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一般企业成本支出明细表－赞助支出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59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一般企业成本支出明细表－罚没支出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一般企业成本支出明细表－坏账损失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一般企业成本支出明细表－无法收回的债券股权投资损失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一般企业成本支出明细表－其他营业外支出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期间费用明细表－职工薪酬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期间费用明细表－劳务费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期间费用明细表－咨询顾问费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期间费用明细表－业务招待费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期间费用明细表－广告费和业务宣传费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期间费用明细表－佣金和手续费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69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期间费用明细表－资产折旧摊销费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期间费用明细表－财产损耗、盘亏及毁损损失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期间费用明细表－办公费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期间费用明细表－董事会费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期间费用明细表－租赁费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期间费用明细表－诉讼费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期间费用明细表－差旅费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期间费用明细表－保险费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期间费用明细表－运输、仓储费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期间费用明细表－修理费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79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期间费用明细表－包装费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期间费用明细表－技术转让费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期间费用明细表－研究费用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期间费用明细表－各项税费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期间费用明细表－利息收支</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期间费用明细表－汇兑差额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期间费用明细表－现金折扣</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期间费用明细表－其他</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纳税调整项目明细表－未按权责发生制原则确认的收入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89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纳税调整项目明细表－投资收益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纳税调整项目明细表－按权益法核算长期股权投资对初始投资成本调整确认收益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纳税调整项目明细表－交易性金融资产初始投资调整</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纳税调整项目明细表－公允价值变动净损益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纳税调整项目明细表－不征税收入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纳税调整项目明细表－销售折扣、折让和退回</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纳税调整项目明细表－职工薪酬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纳税调整项目明细表－业务招待费支出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纳税调整项目明细表－广告费和业务宣传费支出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99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纳税调整项目明细表－捐赠支出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纳税调整项目明细表－利息支出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纳税调整项目明细表－罚金、罚款和被没收财物的损失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纳税调整项目明细表－税收滞纳金、加收利息</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纳税调整项目明细表－赞助支出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纳税调整项目明细表－与未实现融资收益相关在当期确认的财务费用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纳税调整项目明细表－佣金和手续费支出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纳税调整项目明细表－不征税收入用于支出所形成的费用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纳税调整项目明细表－跨期扣除项目</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纳税调整项目明细表－与取得收入无关的支出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109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纳税调整项目明细表－境外所得分摊的共同支出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纳税调整项目明细表－资产折旧、摊销</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纳税调整项目明细表－资产减值准备金</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纳税调整项目明细表－资产损失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视同销售和房地产开发企业特定业务纳税调整明细表－非货币性资产交换视同销售收入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视同销售和房地产开发企业特定业务纳税调整明细表－用于市场推广或销售视同销售收入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视同销售和房地产开发企业特定业务纳税调整明细表－用于交际应酬视同销售收入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视同销售和房地产开发企业特定业务纳税调整明细表－用于职工奖励或福利视同销售收入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视同销售和房地产开发企业特定业务纳税调整明细表－用于股息分配视同销售收入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视同销售和房地产开发企业特定业务纳税调整明细表－用于对外捐赠视同销售收入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119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视同销售和房地产开发企业特定业务纳税调整明细表－用于对外投资项目视同销售收入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视同销售和房地产开发企业特定业务纳税调整明细表－提供劳务视同销售收入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视同销售和房地产开发企业特定业务纳税调整明细表－其他视频销售收入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视同销售和房地产开发企业特定业务纳税调整明细表－非货币性资产交换视同销售成本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视同销售和房地产开发企业特定业务纳税调整明细表－用于市场推广或销售视同销售成本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视同销售和房地产开发企业特定业务纳税调整明细表－用于交际应酬视同销售成本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视同销售和房地产开发企业特定业务纳税调整明细表－用于职工奖励或福利视同销售成本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视同销售和房地产开发企业特定业务纳税调整明细表－用于股息分配视同销售成本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视同销售和房地产开发企业特定业务纳税调整明细表－用于对外捐赠视同销售成本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视同销售和房地产开发企业特定业务纳税调整明细表－用于对外投资项目视同销售成本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129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视同销售和房地产开发企业特定业务纳税调整明细表－提供劳务视同销售成本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视同销售和房地产开发企业特定业务纳税调整明细表－其他视频销售成本</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职工薪酬纳税调整明细表－工资薪金支出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职工薪酬纳税调整明细表－职工福利费支出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职工薪酬纳税调整明细表－职工教育经费支出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职工薪酬纳税调整明细表－工会经费支出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职工薪酬纳税调整明细表－各类基本社会保障性缴款</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职工薪酬纳税调整明细表－住房公积金</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职工薪酬纳税调整明细表－补充养老保险</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职工薪酬纳税调整明细表－补充医疗保险</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139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广告费和业务宣传费跨年度纳税调整明细表－本年广告费和业务宣传费支出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广告费和业务宣传费跨年度纳税调整明细表－不允许扣除的广告费和业务宣传费支出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广告费和业务宣传费跨年度纳税调整明细表－本年计算广告费和业务宣传费扣除限额的销售（营业）收入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广告费和业务宣传费跨年度纳税调整明细表－以前年度累计结转扣除额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资产折旧、摊销情况及纳税调整明细表－账载金额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资产折旧、摊销情况及纳税调整明细表－税收金额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资产折旧、摊销情况及纳税调整明细表－纳税调整</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固定资产加速折旧、扣除明细表－原值</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固定资产加速折旧、扣除明细表－本期折旧（扣除）额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固定资产加速折旧、扣除明细表－累计折旧（扣除）额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149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固定资产加速折旧、扣除明细表－加速折旧额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资产损失税前扣除及纳税调整明细表－账载金额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资产损失税前扣除及纳税调整明细表－税收金额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152</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资产损失税前扣除及纳税调整明细表－纳税调整金额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153</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企业所得税弥补亏损明细表－纳税调整后所得</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154</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企业所得税弥补亏损明细表－以前年度亏损已弥补额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155</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企业所得税弥补亏损明细表－年度实际弥补的以前年度亏损额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156</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免税、减计收入及加计扣除优惠明细表－国债利息收入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157</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免税、减计收入及加计扣除优惠明细表－符合条件的居民企业之间的股息、红利等权益性投资收益</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158</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免税、减计收入及加计扣除优惠明细表－开发新技术、新产品、新工艺发生的研究开发费用加计扣除</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159</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免税、减计收入及加计扣除优惠明细表－安置残疾人员及国家鼓励安置的其他就业人员所支付的工资加计扣除</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160</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研发费用加计扣除优惠明细表－研发活动直接消耗的材料、燃料和动力费用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161</w:t>
            </w:r>
          </w:p>
        </w:tc>
        <w:tc>
          <w:tcPr>
            <w:tcW w:w="7197" w:type="dxa"/>
            <w:tcBorders>
              <w:top w:val="nil"/>
              <w:left w:val="nil"/>
              <w:bottom w:val="single" w:color="auto" w:sz="4" w:space="0"/>
              <w:right w:val="single" w:color="auto" w:sz="4" w:space="0"/>
            </w:tcBorders>
            <w:vAlign w:val="center"/>
          </w:tcPr>
          <w:p>
            <w:pPr>
              <w:snapToGrid w:val="0"/>
              <w:spacing w:line="24" w:lineRule="atLeast"/>
              <w:ind w:firstLine="42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研发费用加计扣除优惠明细表－直接从事研发活动的本企业在职人员费用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162</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研发费用加计扣除优惠明细表－专门用于研发活动的有关折旧费、租赁费、运行维护费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163</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研发费用加计扣除优惠明细表－专门用于研发活动的有关无形资产摊销费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164</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研发费用加计扣除优惠明细表－中间试验和产品试制的有关费用，样品、样机及一般测试手段购置费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165</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研发费用加计扣除优惠明细表－研发成果论证、评审、验收、鉴定费用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166</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研发费用加计扣除优惠明细表－设计、制定、资料和翻译费用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167</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研发费用加计扣除优惠明细表－减:作为不征税收入处理的财政性资金用于研发的部分</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168</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减免所得税优惠明细表－符合条件的小型微利企业</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169</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减免所得税优惠明细表－国家需要重点扶持的高新技术企业</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170</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减免所得税优惠明细表－集成电路生产企业</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171</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减免所得税优惠明细表－符合条件的软件企业</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172</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未按权责发生制确认收入纳税调整明细表－跨期收取的租金、利息、特许权使用费收入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173</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未按权责发生制确认收入纳税调整明细表－分期确认收入账载金额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174</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未按权责发生制确认收入纳税调整明细表－分期确认收入税收金额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175</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未按权责发生制确认收入纳税调整明细表－政府补助递延收入账载金额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176</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未按权责发生制确认收入纳税调整明细表－政府补助递延收入税收金额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177</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未按权责发生制确认收入纳税调整明细表－其他未按权责发生制确认收入账载金额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178</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未按权责发生制确认收入纳税调整明细表－其他未按权责发生制确认收入税收金额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179</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 xml:space="preserve">投资收益纳税调整明细表－交易性金融资产     </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180</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 xml:space="preserve">投资收益纳税调整明细表－可供出售金融资产    </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181</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 xml:space="preserve">投资收益纳税调整明细表－持有至到期投资   </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182</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投资收益纳税调整明细表－长期股权投资</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183</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投资收益纳税调整明细表－长期债券投资</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184</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政策性搬迁纳税调整明细表－对被征用资产价值的补偿</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185</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政策性搬迁纳税调整明细表－因搬迁、安置而给予的补偿</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186</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政策性搬迁纳税调整明细表－对停产停业形成的损失而给予的补偿</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187</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政策性搬迁纳税调整明细表－资产搬迁过程中遭到毁损而取得的保险赔款</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188</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政策性搬迁纳税调整明细表－其他补偿收入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189</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政策性搬迁纳税调整明细表－搬迁资产处置收入</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190</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政策性搬迁纳税调整明细表－安置职工实际发生的费用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191</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政策性搬迁纳税调整明细表－停工期间支付给职工的工资及福利费</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192</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政策性搬迁纳税调整明细表－临时存放搬迁资产而发生的费用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193</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政策性搬迁纳税调整明细表－各类资产搬迁安装费用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194</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政策性搬迁纳税调整明细表－其他与搬迁相关的费用</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195</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政策性搬迁纳税调整明细表－搬迁资产处置支出</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196</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政策性搬迁纳税调整明细表－计入当期损益的搬迁收益或损失</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197</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政策性搬迁纳税调整明细表－以前年度搬迁损失当期扣除金额</w:t>
            </w:r>
          </w:p>
        </w:tc>
      </w:tr>
      <w:tr>
        <w:tblPrEx>
          <w:tblLayout w:type="fixed"/>
          <w:tblCellMar>
            <w:top w:w="0" w:type="dxa"/>
            <w:left w:w="108" w:type="dxa"/>
            <w:bottom w:w="0" w:type="dxa"/>
            <w:right w:w="108" w:type="dxa"/>
          </w:tblCellMar>
        </w:tblPrEx>
        <w:trPr>
          <w:trHeight w:val="403"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198</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专项用途财政性资金纳税调整明细表－财政性资金</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199</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专项用途财政性资金纳税调整明细表－符合不征税收入条件的财政性资金</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200</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专项用途财政性资金纳税调整明细表－以前年度支出情况</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201</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专项用途财政性资金纳税调整明细表－本年支出情况</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202</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专项用途财政性资金纳税调整明细表－本年结余情况</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203</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捐赠支出纳税调整明细表－公益性捐赠账载金额</w:t>
            </w:r>
          </w:p>
        </w:tc>
      </w:tr>
      <w:tr>
        <w:tblPrEx>
          <w:tblLayout w:type="fixed"/>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vAlign w:val="center"/>
          </w:tcPr>
          <w:p>
            <w:pPr>
              <w:snapToGrid w:val="0"/>
              <w:spacing w:line="24" w:lineRule="atLeast"/>
              <w:ind w:firstLine="420"/>
              <w:jc w:val="center"/>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204</w:t>
            </w:r>
          </w:p>
        </w:tc>
        <w:tc>
          <w:tcPr>
            <w:tcW w:w="7197" w:type="dxa"/>
            <w:tcBorders>
              <w:top w:val="nil"/>
              <w:left w:val="nil"/>
              <w:bottom w:val="single" w:color="auto" w:sz="4" w:space="0"/>
              <w:right w:val="single" w:color="auto" w:sz="4" w:space="0"/>
            </w:tcBorders>
            <w:vAlign w:val="center"/>
          </w:tcPr>
          <w:p>
            <w:pPr>
              <w:snapToGrid w:val="0"/>
              <w:spacing w:line="24" w:lineRule="atLeast"/>
              <w:ind w:firstLine="0" w:firstLineChars="0"/>
              <w:jc w:val="left"/>
              <w:rPr>
                <w:rFonts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捐赠支出纳税调整明细表－非公益性捐赠账载金额</w:t>
            </w:r>
          </w:p>
        </w:tc>
      </w:tr>
    </w:tbl>
    <w:p>
      <w:pPr>
        <w:spacing w:line="560" w:lineRule="exact"/>
        <w:ind w:firstLine="560"/>
        <w:rPr>
          <w:rFonts w:ascii="仿宋" w:hAnsi="仿宋" w:eastAsia="仿宋" w:cs="宋体"/>
          <w:color w:val="000000" w:themeColor="text1"/>
          <w:szCs w:val="28"/>
          <w14:textFill>
            <w14:solidFill>
              <w14:schemeClr w14:val="tx1"/>
            </w14:solidFill>
          </w14:textFill>
        </w:rPr>
      </w:pP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十、奖项设定</w:t>
      </w:r>
    </w:p>
    <w:p>
      <w:pPr>
        <w:pStyle w:val="5"/>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奖项设置</w:t>
      </w:r>
      <w:r>
        <w:rPr>
          <w:rFonts w:ascii="仿宋" w:hAnsi="仿宋" w:eastAsia="仿宋"/>
          <w:color w:val="000000" w:themeColor="text1"/>
          <w14:textFill>
            <w14:solidFill>
              <w14:schemeClr w14:val="tx1"/>
            </w14:solidFill>
          </w14:textFill>
        </w:rPr>
        <w:t xml:space="preserve"> </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总决赛以参赛队总数为基数，分设一、二、三等奖（小数点后四舍五入）：一等奖占总参赛队伍总数的10%，二等奖占总参赛队伍总数的20%，三等奖占总参赛队伍总数的30%。</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获得一等奖队伍的指导老师为优秀指导老师。</w:t>
      </w:r>
    </w:p>
    <w:p>
      <w:pPr>
        <w:pStyle w:val="5"/>
        <w:spacing w:before="0" w:after="0" w:line="240" w:lineRule="auto"/>
        <w:ind w:firstLine="56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2.成绩公示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获奖队伍均在大赛官网上进行公布，并经省教育厅公示后颁发证书。</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十一、赛项安全</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赛事安全是技能竞赛一切工作顺利开展的先决条件，是赛事筹备和运行工作必须考虑的核心问题。赛项执委会采取切实有效措施保证大赛期间参赛选手、指导教师、工作人员及观众的人身安全。</w:t>
      </w:r>
    </w:p>
    <w:p>
      <w:pPr>
        <w:spacing w:line="240" w:lineRule="auto"/>
        <w:ind w:firstLine="560"/>
        <w:rPr>
          <w:rFonts w:ascii="仿宋" w:hAnsi="仿宋" w:eastAsia="仿宋"/>
          <w:color w:val="000000" w:themeColor="text1"/>
          <w:szCs w:val="28"/>
          <w14:textFill>
            <w14:solidFill>
              <w14:schemeClr w14:val="tx1"/>
            </w14:solidFill>
          </w14:textFill>
        </w:rPr>
      </w:pPr>
      <w:bookmarkStart w:id="25" w:name="_Toc6605"/>
      <w:bookmarkStart w:id="26" w:name="_Toc516146542"/>
      <w:r>
        <w:rPr>
          <w:rFonts w:hint="eastAsia" w:ascii="仿宋" w:hAnsi="仿宋" w:eastAsia="仿宋"/>
          <w:color w:val="000000" w:themeColor="text1"/>
          <w:szCs w:val="28"/>
          <w14:textFill>
            <w14:solidFill>
              <w14:schemeClr w14:val="tx1"/>
            </w14:solidFill>
          </w14:textFill>
        </w:rPr>
        <w:t>1.比赛环境</w:t>
      </w:r>
      <w:bookmarkEnd w:id="25"/>
      <w:bookmarkEnd w:id="26"/>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赛场组织与管理员应制定安保须知、安全隐患规避方法和突发事件预案，设立紧急疏散路线及通道等，确保比赛期间所有带入车辆、人员需凭证入内；严禁携带管制刀具等危险品及比赛严令禁止的其他物品进入场地；对于紧急发生的拥挤、踩踏、地震、火灾等进行紧急有效的措施。</w:t>
      </w:r>
    </w:p>
    <w:p>
      <w:pPr>
        <w:spacing w:line="240" w:lineRule="auto"/>
        <w:ind w:firstLine="560"/>
        <w:rPr>
          <w:rFonts w:ascii="仿宋" w:hAnsi="仿宋" w:eastAsia="仿宋"/>
          <w:color w:val="000000" w:themeColor="text1"/>
          <w:szCs w:val="28"/>
          <w14:textFill>
            <w14:solidFill>
              <w14:schemeClr w14:val="tx1"/>
            </w14:solidFill>
          </w14:textFill>
        </w:rPr>
      </w:pPr>
      <w:bookmarkStart w:id="27" w:name="_Toc516146543"/>
      <w:bookmarkStart w:id="28" w:name="_Toc2122"/>
      <w:r>
        <w:rPr>
          <w:rFonts w:hint="eastAsia" w:ascii="仿宋" w:hAnsi="仿宋" w:eastAsia="仿宋"/>
          <w:color w:val="000000" w:themeColor="text1"/>
          <w:szCs w:val="28"/>
          <w14:textFill>
            <w14:solidFill>
              <w14:schemeClr w14:val="tx1"/>
            </w14:solidFill>
          </w14:textFill>
        </w:rPr>
        <w:t>2.生活条件</w:t>
      </w:r>
      <w:bookmarkEnd w:id="27"/>
      <w:bookmarkEnd w:id="28"/>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食宿可自行安排，也可按照统一标准进行统一安排，住宿环境要求保障选手的人身、财产安全，具有一定的舒适度；注意食品安全、卫生，保障竞赛选手身体健康。</w:t>
      </w:r>
    </w:p>
    <w:p>
      <w:pPr>
        <w:spacing w:line="240" w:lineRule="auto"/>
        <w:ind w:firstLine="560"/>
        <w:rPr>
          <w:rFonts w:ascii="仿宋" w:hAnsi="仿宋" w:eastAsia="仿宋"/>
          <w:color w:val="000000" w:themeColor="text1"/>
          <w:szCs w:val="28"/>
          <w14:textFill>
            <w14:solidFill>
              <w14:schemeClr w14:val="tx1"/>
            </w14:solidFill>
          </w14:textFill>
        </w:rPr>
      </w:pPr>
      <w:bookmarkStart w:id="29" w:name="_Toc8233"/>
      <w:bookmarkStart w:id="30" w:name="_Toc516146544"/>
      <w:r>
        <w:rPr>
          <w:rFonts w:hint="eastAsia" w:ascii="仿宋" w:hAnsi="仿宋" w:eastAsia="仿宋"/>
          <w:color w:val="000000" w:themeColor="text1"/>
          <w:szCs w:val="28"/>
          <w14:textFill>
            <w14:solidFill>
              <w14:schemeClr w14:val="tx1"/>
            </w14:solidFill>
          </w14:textFill>
        </w:rPr>
        <w:t>3.组队责任</w:t>
      </w:r>
      <w:bookmarkEnd w:id="29"/>
      <w:bookmarkEnd w:id="30"/>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各院校领队代表、指导老师负责竞赛期间、竞赛往返程选手的人身安全、财产安全、心理变化、食宿安排、交通安排等保障竞赛选手正常比赛。</w:t>
      </w:r>
    </w:p>
    <w:p>
      <w:pPr>
        <w:spacing w:line="240" w:lineRule="auto"/>
        <w:ind w:firstLine="560"/>
        <w:rPr>
          <w:rFonts w:ascii="仿宋" w:hAnsi="仿宋" w:eastAsia="仿宋"/>
          <w:color w:val="000000" w:themeColor="text1"/>
          <w:szCs w:val="28"/>
          <w14:textFill>
            <w14:solidFill>
              <w14:schemeClr w14:val="tx1"/>
            </w14:solidFill>
          </w14:textFill>
        </w:rPr>
      </w:pPr>
      <w:bookmarkStart w:id="31" w:name="_Toc516146545"/>
      <w:bookmarkStart w:id="32" w:name="_Toc27766"/>
      <w:r>
        <w:rPr>
          <w:rFonts w:hint="eastAsia" w:ascii="仿宋" w:hAnsi="仿宋" w:eastAsia="仿宋"/>
          <w:color w:val="000000" w:themeColor="text1"/>
          <w:szCs w:val="28"/>
          <w14:textFill>
            <w14:solidFill>
              <w14:schemeClr w14:val="tx1"/>
            </w14:solidFill>
          </w14:textFill>
        </w:rPr>
        <w:t>4.应急处理</w:t>
      </w:r>
      <w:bookmarkEnd w:id="31"/>
      <w:bookmarkEnd w:id="32"/>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十二、竞赛须知及处罚措施</w:t>
      </w:r>
    </w:p>
    <w:p>
      <w:pPr>
        <w:spacing w:line="240" w:lineRule="auto"/>
        <w:ind w:firstLine="560"/>
        <w:rPr>
          <w:rFonts w:ascii="仿宋" w:hAnsi="仿宋" w:eastAsia="仿宋"/>
          <w:color w:val="000000" w:themeColor="text1"/>
          <w:szCs w:val="28"/>
          <w14:textFill>
            <w14:solidFill>
              <w14:schemeClr w14:val="tx1"/>
            </w14:solidFill>
          </w14:textFill>
        </w:rPr>
      </w:pPr>
      <w:bookmarkStart w:id="33" w:name="_Toc516146547"/>
      <w:bookmarkStart w:id="34" w:name="_Toc28566"/>
      <w:r>
        <w:rPr>
          <w:rFonts w:hint="eastAsia" w:ascii="仿宋" w:hAnsi="仿宋" w:eastAsia="仿宋"/>
          <w:color w:val="000000" w:themeColor="text1"/>
          <w:szCs w:val="28"/>
          <w14:textFill>
            <w14:solidFill>
              <w14:schemeClr w14:val="tx1"/>
            </w14:solidFill>
          </w14:textFill>
        </w:rPr>
        <w:t>1.参赛队须知</w:t>
      </w:r>
      <w:bookmarkEnd w:id="33"/>
      <w:bookmarkEnd w:id="34"/>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（1）各参赛代表队要发扬良好道德风尚，听从指挥，服从裁判，不弄虚作假。如发现弄虚作假者，取消参赛资格，名次无效。</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（2）各参赛代表队要坚决执行竞赛的各项规定，加强对参赛人员的管理，做好赛前准备工作，督促选手带好证件等竞赛相关材料。</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（3）竞赛过程中，除参加当场次竞赛的选手、执行裁判员、现场工作人员和经批准的人员外，领队、指导老师及其他人员一律不得进入竞赛现场。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（4）参赛代表队若对竞赛过程有异议，在规定的时间内由领队向赛项仲裁工作组提出书面报告。</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（5）对申诉的仲裁结果，领队要带头服从和执行，并做好选手工作。参赛选手不得因申诉或处理意见不服而停止竞赛，否则以弃权处理。</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（6）指导老师应及时查看大赛专用网有关赛项的通知和内容，认真研究和掌握本赛项竞赛的规程、技术规范和赛场要求，指导选手做好赛前的一切技术准备和竞赛准备。</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（7）参赛领队应对本次参赛队员和指导老师的参赛期间安全负责，参赛学校须为参赛选手和指导老师购买意外保险。</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（8）领队和指导老师应在赛后做好赛事总结和工作总结。</w:t>
      </w:r>
    </w:p>
    <w:p>
      <w:pPr>
        <w:spacing w:line="240" w:lineRule="auto"/>
        <w:ind w:firstLine="560"/>
        <w:rPr>
          <w:rFonts w:ascii="仿宋" w:hAnsi="仿宋" w:eastAsia="仿宋"/>
          <w:color w:val="000000" w:themeColor="text1"/>
          <w:szCs w:val="28"/>
          <w14:textFill>
            <w14:solidFill>
              <w14:schemeClr w14:val="tx1"/>
            </w14:solidFill>
          </w14:textFill>
        </w:rPr>
      </w:pPr>
      <w:bookmarkStart w:id="35" w:name="_Toc516146548"/>
      <w:bookmarkStart w:id="36" w:name="_Toc25593"/>
      <w:r>
        <w:rPr>
          <w:rFonts w:hint="eastAsia" w:ascii="仿宋" w:hAnsi="仿宋" w:eastAsia="仿宋"/>
          <w:color w:val="000000" w:themeColor="text1"/>
          <w:szCs w:val="28"/>
          <w14:textFill>
            <w14:solidFill>
              <w14:schemeClr w14:val="tx1"/>
            </w14:solidFill>
          </w14:textFill>
        </w:rPr>
        <w:t>2</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指导教师须知</w:t>
      </w:r>
      <w:bookmarkEnd w:id="35"/>
      <w:bookmarkEnd w:id="36"/>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（1）赛前学生遴选、参赛学生辅导</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（2）参加赛前说明会、领队会议，若因个人原因导致没有正常参加说明会或领队会议，导致竞赛信息及注意事项等不了解的情况产生的后果由参赛学校自行承担。</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（3）保障大赛期间的选手安全事宜</w:t>
      </w:r>
    </w:p>
    <w:p>
      <w:pPr>
        <w:spacing w:line="240" w:lineRule="auto"/>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3.参赛选手须知</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（1）参赛选手应按有关要求如实填报个人信息，否则取消竞赛资格。</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（2）参赛选手凭统一印制的参赛证和有效身份证件、学生证件参加竞赛。</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（3）参赛选手应认真学习领会本次竞赛相关文件、自觉遵守大赛纪律，服从指挥，听从安排、文明参赛。</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（4）参加选手请勿携带与竞赛无关的电子设备、通讯设备及其他资料与用品进入赛场、可携带无记忆功能计算器进入考场。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（5）参赛选手应按照规定时间抵达赛场、凭参赛证、有效身份证件、学生证件检录，按要求入场，不得迟到早退。</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（6）参赛选手应增强角色意识，严格执行会计法律规范，按照内部控制的要求，科学合理分工与合作。</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（7）参赛选手应按有关要求在指定座位就坐。实操部分以团队设置竞赛台位，按岗位标注操作位置，竞赛台位在领队会议上由计算机自动抽签决定。</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8）参赛选手须在确认竞赛内容和现场设备等无误后开始竞赛。在竞赛过程中，如有疑问，参赛选手应举手示意，监考老师、技术人员等应及时予以解决。确因计算机软件或硬件故障，致使操作无法继续的，经裁判长确认，予以启用备用计算机。如遇身体不适，参赛选手应举手示意，现场医务人员按应急预案救治。</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（9）各参赛选手必须按规范要求操作竞赛设备，一旦出现较严重的安全事故，经裁判长批准后立即取消其参赛资格。</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（10）竞赛时间终了，选手应全体起立，结束操作。将资料和工具整齐摆放在操作台上，经工作人员清点后方可离开赛场，离开赛场时不得带走任何资料。</w:t>
      </w:r>
    </w:p>
    <w:p>
      <w:pPr>
        <w:spacing w:line="240" w:lineRule="auto"/>
        <w:ind w:firstLine="560"/>
        <w:rPr>
          <w:rFonts w:ascii="仿宋" w:hAnsi="仿宋" w:eastAsia="仿宋"/>
          <w:color w:val="000000" w:themeColor="text1"/>
          <w:szCs w:val="28"/>
          <w14:textFill>
            <w14:solidFill>
              <w14:schemeClr w14:val="tx1"/>
            </w14:solidFill>
          </w14:textFill>
        </w:rPr>
      </w:pPr>
      <w:bookmarkStart w:id="37" w:name="_Toc516146550"/>
      <w:bookmarkStart w:id="38" w:name="_Toc7343"/>
      <w:r>
        <w:rPr>
          <w:rFonts w:hint="eastAsia" w:ascii="仿宋" w:hAnsi="仿宋" w:eastAsia="仿宋"/>
          <w:color w:val="000000" w:themeColor="text1"/>
          <w:szCs w:val="28"/>
          <w14:textFill>
            <w14:solidFill>
              <w14:schemeClr w14:val="tx1"/>
            </w14:solidFill>
          </w14:textFill>
        </w:rPr>
        <w:t>4</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工作人员须知</w:t>
      </w:r>
      <w:bookmarkEnd w:id="37"/>
      <w:bookmarkEnd w:id="38"/>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（1）树立服务观念，一切为选手着想，以高度负责的精神、严肃认真的态度和严谨细致的作风，在赛项执委会的领导下，按照各自职责分工和要求认真做好岗位工作。</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（2）所有工作人员必须佩戴证件、忠于职守，秉公办理，保守秘密。</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（3）注意文明礼貌，保持良好形象，熟悉赛项指南。</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（4）自觉遵守赛项纪律和规则，服从调配和分工，确保竞赛工作的顺利执行。</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（5）提前30分钟到达赛场，严守工作岗位，不迟到，不早退，不无故离岗，特殊情况需向工作组组长请假。</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（6）熟悉竞赛规程，严格按照工作程序和有关规定办事，遇突发事件，按照应急预案，组织指挥人员疏散、确保人员安全。</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（7）工作人员在竞赛中若有舞弊行为，立即撤销其工作资格，并严肃处理。</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（8）保持通信畅通，服从统一领导，严格遵守竞赛纪律，加强协作配合，提高工作效率。</w:t>
      </w:r>
    </w:p>
    <w:p>
      <w:pPr>
        <w:pStyle w:val="4"/>
        <w:spacing w:before="0" w:after="0"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十三、申诉与仲裁</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pStyle w:val="36"/>
        <w:spacing w:line="240" w:lineRule="auto"/>
        <w:ind w:firstLine="174" w:firstLineChars="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十四、竞赛观摩</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竞赛设置观摩区域和参观路线，向媒体、企业代表、院校师生及家长等社会公众开放，不允许有大声喧哗等影响参赛选手竞赛的行为发生。指导教师不能进入赛场内指导，可以观摩。赛场外设立展览展示区域，设专人接待讲解。</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为保证大赛顺利进行，在观摩期间应遵循以下规则：</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1．除与竞赛直接有关的工作人员、裁判员、参赛选手外，其余人员均为观摩观众。</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2．请勿在选手准备或比赛中交谈或欢呼；请勿对选手打手势，包括哑语沟通等明示、暗示行为，禁止鼓掌喝彩等发出声音的行为。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3．请勿在观摩比赛时使用相机、摄影机等一切对比赛正常进行造成干扰的带有闪光灯及快门音的设备。</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4．不得违反大赛规定的各项纪律。请站在规划的观摩席或者安全线以外观看比赛，并遵循赛场内工作人员和竞赛裁判人员的指挥，不得有围攻裁判员、选手或者其他工作人员的行为。</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5．请务必保持赛场清洁，禁止将无盖饮料带入室内，请勿随手乱扔垃圾等杂物。</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6．为确保选手正常比赛，观众席内严禁携带手机及其他任何通讯工具，违者除将本人驱逐出观摩场地外，还将视情况严重程度对所在代表队的选手的成绩进行扣分直至取消比赛资格。</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7．如果对成绩产生质疑的，请通过各参赛队领队向组委会仲裁委员会提出，不得在比赛现场发言。</w:t>
      </w:r>
    </w:p>
    <w:p>
      <w:pPr>
        <w:pStyle w:val="36"/>
        <w:spacing w:line="240" w:lineRule="auto"/>
        <w:ind w:firstLine="455" w:firstLineChars="162"/>
        <w:rPr>
          <w:rFonts w:ascii="仿宋" w:hAnsi="仿宋" w:eastAsia="仿宋"/>
          <w:color w:val="000000" w:themeColor="text1"/>
          <w:sz w:val="28"/>
          <w:szCs w:val="28"/>
          <w14:textFill>
            <w14:solidFill>
              <w14:schemeClr w14:val="tx1"/>
            </w14:solidFill>
          </w14:textFill>
        </w:rPr>
      </w:pPr>
      <w:bookmarkStart w:id="39" w:name="_Toc516146553"/>
      <w:r>
        <w:rPr>
          <w:rFonts w:hint="eastAsia" w:ascii="仿宋" w:hAnsi="仿宋" w:eastAsia="仿宋"/>
          <w:color w:val="000000" w:themeColor="text1"/>
          <w:sz w:val="28"/>
          <w:szCs w:val="28"/>
          <w14:textFill>
            <w14:solidFill>
              <w14:schemeClr w14:val="tx1"/>
            </w14:solidFill>
          </w14:textFill>
        </w:rPr>
        <w:t>十五、竞赛直播（竞赛录像）</w:t>
      </w:r>
      <w:bookmarkEnd w:id="39"/>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1．赛场内部署无盲点录像设备，能全程实时录制并播送赛场情况；</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2．在赛场外设置大屏幕或投影，同步显示赛场内竞赛状况；</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3．有条件的可使用网上直播系统；</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4．多机位拍摄开闭幕式，制作优秀选手采访、优秀指导教师采访、裁判专家点评和企业人士采访视频资料，突出赛项的技能重点与优势特色。为宣传、仲裁、资源转化提供全面的信息资料。</w:t>
      </w:r>
    </w:p>
    <w:p>
      <w:pPr>
        <w:pStyle w:val="36"/>
        <w:spacing w:line="240" w:lineRule="auto"/>
        <w:ind w:firstLine="56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十六、竞赛宣传</w:t>
      </w:r>
    </w:p>
    <w:p>
      <w:pPr>
        <w:spacing w:line="240" w:lineRule="auto"/>
        <w:ind w:firstLine="560"/>
        <w:rPr>
          <w:rFonts w:ascii="仿宋" w:hAnsi="仿宋" w:eastAsia="仿宋" w:cs="Arial"/>
          <w:color w:val="000000" w:themeColor="text1"/>
          <w:kern w:val="0"/>
          <w:szCs w:val="28"/>
          <w14:textFill>
            <w14:solidFill>
              <w14:schemeClr w14:val="tx1"/>
            </w14:solidFill>
          </w14:textFill>
        </w:rPr>
      </w:pPr>
      <w:r>
        <w:rPr>
          <w:rFonts w:hint="eastAsia" w:ascii="仿宋" w:hAnsi="仿宋" w:eastAsia="仿宋" w:cs="Arial"/>
          <w:color w:val="000000" w:themeColor="text1"/>
          <w:kern w:val="0"/>
          <w:szCs w:val="28"/>
          <w14:textFill>
            <w14:solidFill>
              <w14:schemeClr w14:val="tx1"/>
            </w14:solidFill>
          </w14:textFill>
        </w:rPr>
        <w:t>邀请安徽省电视媒体、网络媒体、报社等新闻媒体进行赛事报道。</w:t>
      </w: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250866"/>
    </w:sdtPr>
    <w:sdtContent>
      <w:p>
        <w:pPr>
          <w:pStyle w:val="15"/>
          <w:ind w:firstLine="360"/>
          <w:jc w:val="center"/>
        </w:pPr>
        <w:r>
          <w:fldChar w:fldCharType="begin"/>
        </w:r>
        <w:r>
          <w:instrText xml:space="preserve">PAGE   \* MERGEFORMAT</w:instrText>
        </w:r>
        <w:r>
          <w:fldChar w:fldCharType="separate"/>
        </w:r>
        <w:r>
          <w:rPr>
            <w:lang w:val="zh-CN"/>
          </w:rPr>
          <w:t>28</w:t>
        </w:r>
        <w:r>
          <w:fldChar w:fldCharType="end"/>
        </w:r>
      </w:p>
    </w:sdtContent>
  </w:sdt>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47126"/>
    <w:multiLevelType w:val="multilevel"/>
    <w:tmpl w:val="406471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1C993D"/>
    <w:multiLevelType w:val="singleLevel"/>
    <w:tmpl w:val="4C1C993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FA"/>
    <w:rsid w:val="00050DE0"/>
    <w:rsid w:val="0007657F"/>
    <w:rsid w:val="002727FA"/>
    <w:rsid w:val="003E4DDA"/>
    <w:rsid w:val="00682FD0"/>
    <w:rsid w:val="006D31C8"/>
    <w:rsid w:val="006F078E"/>
    <w:rsid w:val="00AA60D9"/>
    <w:rsid w:val="00BA35AC"/>
    <w:rsid w:val="00CD41F7"/>
    <w:rsid w:val="00E91ECD"/>
    <w:rsid w:val="03C56522"/>
    <w:rsid w:val="24BD4E92"/>
    <w:rsid w:val="333922D2"/>
    <w:rsid w:val="378D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0"/>
    <w:qFormat/>
    <w:uiPriority w:val="9"/>
    <w:pPr>
      <w:keepNext/>
      <w:keepLines/>
      <w:spacing w:line="576" w:lineRule="auto"/>
      <w:outlineLvl w:val="0"/>
    </w:pPr>
    <w:rPr>
      <w:b/>
      <w:kern w:val="44"/>
      <w:sz w:val="44"/>
    </w:rPr>
  </w:style>
  <w:style w:type="paragraph" w:styleId="3">
    <w:name w:val="heading 2"/>
    <w:basedOn w:val="1"/>
    <w:next w:val="1"/>
    <w:link w:val="3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link w:val="32"/>
    <w:unhideWhenUsed/>
    <w:qFormat/>
    <w:uiPriority w:val="9"/>
    <w:pPr>
      <w:keepNext/>
      <w:keepLines/>
      <w:spacing w:before="260" w:after="260" w:line="416" w:lineRule="auto"/>
      <w:outlineLvl w:val="2"/>
    </w:pPr>
    <w:rPr>
      <w:rFonts w:ascii="Calibri" w:hAnsi="Calibri" w:cs="Calibri"/>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34"/>
    <w:unhideWhenUsed/>
    <w:qFormat/>
    <w:uiPriority w:val="9"/>
    <w:pPr>
      <w:keepNext/>
      <w:keepLines/>
      <w:spacing w:before="280" w:after="290" w:line="376" w:lineRule="auto"/>
      <w:outlineLvl w:val="4"/>
    </w:pPr>
    <w:rPr>
      <w:b/>
      <w:bCs/>
      <w:szCs w:val="28"/>
    </w:rPr>
  </w:style>
  <w:style w:type="character" w:default="1" w:styleId="25">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sz w:val="21"/>
    </w:rPr>
  </w:style>
  <w:style w:type="paragraph" w:styleId="8">
    <w:name w:val="Document Map"/>
    <w:basedOn w:val="1"/>
    <w:link w:val="38"/>
    <w:semiHidden/>
    <w:unhideWhenUsed/>
    <w:qFormat/>
    <w:uiPriority w:val="99"/>
    <w:pPr>
      <w:spacing w:line="240" w:lineRule="auto"/>
      <w:ind w:firstLine="0" w:firstLineChars="0"/>
    </w:pPr>
    <w:rPr>
      <w:rFonts w:ascii="宋体"/>
      <w:sz w:val="18"/>
      <w:szCs w:val="18"/>
    </w:rPr>
  </w:style>
  <w:style w:type="paragraph" w:styleId="9">
    <w:name w:val="annotation text"/>
    <w:basedOn w:val="1"/>
    <w:link w:val="39"/>
    <w:unhideWhenUsed/>
    <w:qFormat/>
    <w:uiPriority w:val="99"/>
    <w:pPr>
      <w:spacing w:line="240" w:lineRule="auto"/>
      <w:ind w:firstLine="0" w:firstLineChars="0"/>
      <w:jc w:val="left"/>
    </w:pPr>
    <w:rPr>
      <w:sz w:val="21"/>
    </w:rPr>
  </w:style>
  <w:style w:type="paragraph" w:styleId="10">
    <w:name w:val="Body Text"/>
    <w:basedOn w:val="1"/>
    <w:link w:val="47"/>
    <w:qFormat/>
    <w:uiPriority w:val="1"/>
    <w:rPr>
      <w:rFonts w:ascii="微软雅黑" w:hAnsi="微软雅黑" w:eastAsia="微软雅黑" w:cs="微软雅黑"/>
      <w:szCs w:val="28"/>
      <w:lang w:val="zh-CN" w:bidi="zh-CN"/>
    </w:rPr>
  </w:style>
  <w:style w:type="paragraph" w:styleId="11">
    <w:name w:val="toc 5"/>
    <w:basedOn w:val="1"/>
    <w:next w:val="1"/>
    <w:unhideWhenUsed/>
    <w:qFormat/>
    <w:uiPriority w:val="39"/>
    <w:pPr>
      <w:spacing w:line="240" w:lineRule="auto"/>
      <w:ind w:left="1680" w:leftChars="800" w:firstLine="0" w:firstLineChars="0"/>
    </w:pPr>
    <w:rPr>
      <w:sz w:val="21"/>
    </w:rPr>
  </w:style>
  <w:style w:type="paragraph" w:styleId="12">
    <w:name w:val="toc 3"/>
    <w:basedOn w:val="1"/>
    <w:next w:val="1"/>
    <w:unhideWhenUsed/>
    <w:qFormat/>
    <w:uiPriority w:val="39"/>
    <w:pPr>
      <w:spacing w:line="240" w:lineRule="auto"/>
      <w:ind w:left="840" w:leftChars="400" w:firstLine="0" w:firstLineChars="0"/>
    </w:pPr>
    <w:rPr>
      <w:sz w:val="21"/>
    </w:rPr>
  </w:style>
  <w:style w:type="paragraph" w:styleId="13">
    <w:name w:val="toc 8"/>
    <w:basedOn w:val="1"/>
    <w:next w:val="1"/>
    <w:unhideWhenUsed/>
    <w:qFormat/>
    <w:uiPriority w:val="39"/>
    <w:pPr>
      <w:spacing w:line="240" w:lineRule="auto"/>
      <w:ind w:left="2940" w:leftChars="1400" w:firstLine="0" w:firstLineChars="0"/>
    </w:pPr>
    <w:rPr>
      <w:sz w:val="21"/>
    </w:rPr>
  </w:style>
  <w:style w:type="paragraph" w:styleId="14">
    <w:name w:val="Balloon Text"/>
    <w:basedOn w:val="1"/>
    <w:link w:val="35"/>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240" w:lineRule="auto"/>
      <w:ind w:firstLine="0" w:firstLineChars="0"/>
    </w:pPr>
    <w:rPr>
      <w:sz w:val="21"/>
    </w:rPr>
  </w:style>
  <w:style w:type="paragraph" w:styleId="18">
    <w:name w:val="toc 4"/>
    <w:basedOn w:val="1"/>
    <w:next w:val="1"/>
    <w:unhideWhenUsed/>
    <w:qFormat/>
    <w:uiPriority w:val="39"/>
    <w:pPr>
      <w:spacing w:line="240" w:lineRule="auto"/>
      <w:ind w:left="1260" w:leftChars="600" w:firstLine="0" w:firstLineChars="0"/>
    </w:pPr>
    <w:rPr>
      <w:sz w:val="21"/>
    </w:rPr>
  </w:style>
  <w:style w:type="paragraph" w:styleId="19">
    <w:name w:val="toc 6"/>
    <w:basedOn w:val="1"/>
    <w:next w:val="1"/>
    <w:unhideWhenUsed/>
    <w:qFormat/>
    <w:uiPriority w:val="39"/>
    <w:pPr>
      <w:spacing w:line="240" w:lineRule="auto"/>
      <w:ind w:left="2100" w:leftChars="1000" w:firstLine="0" w:firstLineChars="0"/>
    </w:pPr>
    <w:rPr>
      <w:sz w:val="21"/>
    </w:rPr>
  </w:style>
  <w:style w:type="paragraph" w:styleId="20">
    <w:name w:val="toc 2"/>
    <w:basedOn w:val="1"/>
    <w:next w:val="1"/>
    <w:unhideWhenUsed/>
    <w:qFormat/>
    <w:uiPriority w:val="39"/>
    <w:pPr>
      <w:spacing w:line="240" w:lineRule="auto"/>
      <w:ind w:left="420" w:leftChars="200" w:firstLine="0" w:firstLineChars="0"/>
    </w:pPr>
    <w:rPr>
      <w:sz w:val="21"/>
    </w:rPr>
  </w:style>
  <w:style w:type="paragraph" w:styleId="21">
    <w:name w:val="toc 9"/>
    <w:basedOn w:val="1"/>
    <w:next w:val="1"/>
    <w:unhideWhenUsed/>
    <w:qFormat/>
    <w:uiPriority w:val="39"/>
    <w:pPr>
      <w:spacing w:line="240" w:lineRule="auto"/>
      <w:ind w:left="3360" w:leftChars="1600" w:firstLine="0" w:firstLineChars="0"/>
    </w:pPr>
    <w:rPr>
      <w:sz w:val="21"/>
    </w:rPr>
  </w:style>
  <w:style w:type="paragraph" w:styleId="22">
    <w:name w:val="Normal (Web)"/>
    <w:basedOn w:val="1"/>
    <w:qFormat/>
    <w:uiPriority w:val="99"/>
    <w:pPr>
      <w:widowControl/>
      <w:spacing w:before="100" w:beforeAutospacing="1" w:after="100" w:afterAutospacing="1" w:line="240" w:lineRule="auto"/>
      <w:ind w:firstLine="0" w:firstLineChars="0"/>
      <w:jc w:val="left"/>
    </w:pPr>
    <w:rPr>
      <w:rFonts w:ascii="宋体" w:hAnsi="宋体"/>
      <w:color w:val="000066"/>
      <w:kern w:val="0"/>
      <w:sz w:val="24"/>
    </w:rPr>
  </w:style>
  <w:style w:type="table" w:styleId="24">
    <w:name w:val="Table Grid"/>
    <w:basedOn w:val="2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unhideWhenUsed/>
    <w:qFormat/>
    <w:uiPriority w:val="99"/>
    <w:rPr>
      <w:sz w:val="21"/>
      <w:szCs w:val="21"/>
    </w:rPr>
  </w:style>
  <w:style w:type="character" w:customStyle="1" w:styleId="28">
    <w:name w:val="页眉 字符"/>
    <w:basedOn w:val="25"/>
    <w:link w:val="16"/>
    <w:qFormat/>
    <w:uiPriority w:val="99"/>
    <w:rPr>
      <w:sz w:val="18"/>
      <w:szCs w:val="18"/>
    </w:rPr>
  </w:style>
  <w:style w:type="character" w:customStyle="1" w:styleId="29">
    <w:name w:val="页脚 字符"/>
    <w:basedOn w:val="25"/>
    <w:link w:val="15"/>
    <w:qFormat/>
    <w:uiPriority w:val="99"/>
    <w:rPr>
      <w:sz w:val="18"/>
      <w:szCs w:val="18"/>
    </w:rPr>
  </w:style>
  <w:style w:type="character" w:customStyle="1" w:styleId="30">
    <w:name w:val="标题 1 字符"/>
    <w:basedOn w:val="25"/>
    <w:link w:val="2"/>
    <w:qFormat/>
    <w:uiPriority w:val="9"/>
    <w:rPr>
      <w:rFonts w:ascii="Times New Roman" w:hAnsi="Times New Roman" w:eastAsia="宋体" w:cs="Times New Roman"/>
      <w:b/>
      <w:kern w:val="44"/>
      <w:sz w:val="44"/>
      <w:szCs w:val="24"/>
    </w:rPr>
  </w:style>
  <w:style w:type="character" w:customStyle="1" w:styleId="31">
    <w:name w:val="标题 2 字符"/>
    <w:basedOn w:val="25"/>
    <w:link w:val="3"/>
    <w:qFormat/>
    <w:uiPriority w:val="9"/>
    <w:rPr>
      <w:rFonts w:ascii="Arial" w:hAnsi="Arial" w:eastAsia="黑体" w:cs="Times New Roman"/>
      <w:b/>
      <w:sz w:val="32"/>
      <w:szCs w:val="24"/>
    </w:rPr>
  </w:style>
  <w:style w:type="character" w:customStyle="1" w:styleId="32">
    <w:name w:val="标题 3 字符"/>
    <w:basedOn w:val="25"/>
    <w:link w:val="4"/>
    <w:qFormat/>
    <w:uiPriority w:val="9"/>
    <w:rPr>
      <w:rFonts w:ascii="Calibri" w:hAnsi="Calibri" w:eastAsia="宋体" w:cs="Calibri"/>
      <w:b/>
      <w:bCs/>
      <w:sz w:val="32"/>
      <w:szCs w:val="32"/>
    </w:rPr>
  </w:style>
  <w:style w:type="character" w:customStyle="1" w:styleId="33">
    <w:name w:val="标题 4 字符"/>
    <w:basedOn w:val="25"/>
    <w:link w:val="5"/>
    <w:qFormat/>
    <w:uiPriority w:val="9"/>
    <w:rPr>
      <w:rFonts w:asciiTheme="majorHAnsi" w:hAnsiTheme="majorHAnsi" w:eastAsiaTheme="majorEastAsia" w:cstheme="majorBidi"/>
      <w:b/>
      <w:bCs/>
      <w:sz w:val="28"/>
      <w:szCs w:val="28"/>
    </w:rPr>
  </w:style>
  <w:style w:type="character" w:customStyle="1" w:styleId="34">
    <w:name w:val="标题 5 字符"/>
    <w:basedOn w:val="25"/>
    <w:link w:val="6"/>
    <w:qFormat/>
    <w:uiPriority w:val="9"/>
    <w:rPr>
      <w:rFonts w:ascii="Times New Roman" w:hAnsi="Times New Roman" w:eastAsia="宋体" w:cs="Times New Roman"/>
      <w:b/>
      <w:bCs/>
      <w:sz w:val="28"/>
      <w:szCs w:val="28"/>
    </w:rPr>
  </w:style>
  <w:style w:type="character" w:customStyle="1" w:styleId="35">
    <w:name w:val="批注框文本 字符"/>
    <w:basedOn w:val="25"/>
    <w:link w:val="14"/>
    <w:qFormat/>
    <w:uiPriority w:val="99"/>
    <w:rPr>
      <w:rFonts w:ascii="Times New Roman" w:hAnsi="Times New Roman" w:eastAsia="宋体" w:cs="Times New Roman"/>
      <w:sz w:val="18"/>
      <w:szCs w:val="18"/>
    </w:rPr>
  </w:style>
  <w:style w:type="paragraph" w:customStyle="1" w:styleId="36">
    <w:name w:val="题1"/>
    <w:basedOn w:val="3"/>
    <w:link w:val="37"/>
    <w:qFormat/>
    <w:uiPriority w:val="0"/>
    <w:pPr>
      <w:spacing w:line="360" w:lineRule="auto"/>
    </w:pPr>
    <w:rPr>
      <w:rFonts w:ascii="仿宋_GB2312" w:hAnsi="Calibri" w:eastAsiaTheme="majorEastAsia"/>
      <w:bCs/>
      <w:szCs w:val="36"/>
    </w:rPr>
  </w:style>
  <w:style w:type="character" w:customStyle="1" w:styleId="37">
    <w:name w:val="题1 Char"/>
    <w:basedOn w:val="25"/>
    <w:link w:val="36"/>
    <w:qFormat/>
    <w:uiPriority w:val="0"/>
    <w:rPr>
      <w:rFonts w:ascii="仿宋_GB2312" w:hAnsi="Calibri" w:cs="Times New Roman" w:eastAsiaTheme="majorEastAsia"/>
      <w:b/>
      <w:bCs/>
      <w:sz w:val="32"/>
      <w:szCs w:val="36"/>
    </w:rPr>
  </w:style>
  <w:style w:type="character" w:customStyle="1" w:styleId="38">
    <w:name w:val="文档结构图 字符"/>
    <w:basedOn w:val="25"/>
    <w:link w:val="8"/>
    <w:semiHidden/>
    <w:qFormat/>
    <w:uiPriority w:val="99"/>
    <w:rPr>
      <w:rFonts w:ascii="宋体" w:hAnsi="Times New Roman" w:eastAsia="宋体" w:cs="Times New Roman"/>
      <w:sz w:val="18"/>
      <w:szCs w:val="18"/>
    </w:rPr>
  </w:style>
  <w:style w:type="character" w:customStyle="1" w:styleId="39">
    <w:name w:val="批注文字 字符"/>
    <w:basedOn w:val="25"/>
    <w:link w:val="9"/>
    <w:qFormat/>
    <w:uiPriority w:val="99"/>
    <w:rPr>
      <w:rFonts w:ascii="Times New Roman" w:hAnsi="Times New Roman" w:eastAsia="宋体" w:cs="Times New Roman"/>
      <w:szCs w:val="24"/>
    </w:rPr>
  </w:style>
  <w:style w:type="paragraph" w:customStyle="1" w:styleId="40">
    <w:name w:val="Pa4"/>
    <w:basedOn w:val="1"/>
    <w:next w:val="1"/>
    <w:qFormat/>
    <w:uiPriority w:val="99"/>
    <w:pPr>
      <w:autoSpaceDE w:val="0"/>
      <w:autoSpaceDN w:val="0"/>
      <w:adjustRightInd w:val="0"/>
      <w:spacing w:line="301" w:lineRule="atLeast"/>
      <w:ind w:firstLine="0" w:firstLineChars="0"/>
      <w:jc w:val="left"/>
    </w:pPr>
    <w:rPr>
      <w:rFonts w:ascii="OEEEEV+FZHTJW--GB1-0" w:hAnsi="Calibri" w:eastAsia="OEEEEV+FZHTJW--GB1-0"/>
      <w:kern w:val="0"/>
      <w:sz w:val="24"/>
    </w:rPr>
  </w:style>
  <w:style w:type="paragraph" w:customStyle="1" w:styleId="41">
    <w:name w:val="列出段落1"/>
    <w:basedOn w:val="1"/>
    <w:qFormat/>
    <w:uiPriority w:val="34"/>
    <w:pPr>
      <w:spacing w:line="240" w:lineRule="auto"/>
      <w:ind w:firstLine="420"/>
    </w:pPr>
    <w:rPr>
      <w:rFonts w:ascii="Calibri" w:hAnsi="Calibri"/>
      <w:sz w:val="21"/>
      <w:szCs w:val="22"/>
    </w:rPr>
  </w:style>
  <w:style w:type="paragraph" w:customStyle="1" w:styleId="42">
    <w:name w:val="5-内文"/>
    <w:basedOn w:val="1"/>
    <w:link w:val="44"/>
    <w:qFormat/>
    <w:uiPriority w:val="99"/>
    <w:pPr>
      <w:spacing w:beforeLines="25" w:afterLines="25" w:line="300" w:lineRule="auto"/>
    </w:pPr>
    <w:rPr>
      <w:rFonts w:eastAsia="仿宋_GB2312"/>
      <w:kern w:val="0"/>
      <w:szCs w:val="20"/>
    </w:rPr>
  </w:style>
  <w:style w:type="paragraph" w:customStyle="1" w:styleId="43">
    <w:name w:val="列出段落2"/>
    <w:basedOn w:val="1"/>
    <w:unhideWhenUsed/>
    <w:qFormat/>
    <w:uiPriority w:val="0"/>
    <w:pPr>
      <w:spacing w:line="240" w:lineRule="auto"/>
      <w:ind w:firstLine="420"/>
    </w:pPr>
    <w:rPr>
      <w:sz w:val="21"/>
    </w:rPr>
  </w:style>
  <w:style w:type="character" w:customStyle="1" w:styleId="44">
    <w:name w:val="5-内文 Char"/>
    <w:link w:val="42"/>
    <w:qFormat/>
    <w:locked/>
    <w:uiPriority w:val="99"/>
    <w:rPr>
      <w:rFonts w:ascii="Times New Roman" w:hAnsi="Times New Roman" w:eastAsia="仿宋_GB2312" w:cs="Times New Roman"/>
      <w:kern w:val="0"/>
      <w:sz w:val="28"/>
      <w:szCs w:val="20"/>
    </w:rPr>
  </w:style>
  <w:style w:type="paragraph" w:customStyle="1" w:styleId="45">
    <w:name w:val="TOC 标题1"/>
    <w:basedOn w:val="2"/>
    <w:next w:val="1"/>
    <w:qFormat/>
    <w:uiPriority w:val="99"/>
    <w:pPr>
      <w:widowControl/>
      <w:spacing w:before="480" w:line="276" w:lineRule="auto"/>
      <w:ind w:firstLine="0" w:firstLineChars="0"/>
      <w:jc w:val="left"/>
      <w:outlineLvl w:val="9"/>
    </w:pPr>
    <w:rPr>
      <w:rFonts w:ascii="Cambria" w:hAnsi="Cambria"/>
      <w:bCs/>
      <w:color w:val="365F91"/>
      <w:kern w:val="0"/>
      <w:szCs w:val="44"/>
    </w:rPr>
  </w:style>
  <w:style w:type="paragraph" w:styleId="46">
    <w:name w:val="List Paragraph"/>
    <w:basedOn w:val="1"/>
    <w:qFormat/>
    <w:uiPriority w:val="34"/>
    <w:pPr>
      <w:spacing w:line="240" w:lineRule="auto"/>
      <w:ind w:firstLine="420"/>
    </w:pPr>
    <w:rPr>
      <w:rFonts w:asciiTheme="minorHAnsi" w:hAnsiTheme="minorHAnsi" w:eastAsiaTheme="minorEastAsia" w:cstheme="minorBidi"/>
      <w:sz w:val="21"/>
      <w:szCs w:val="22"/>
    </w:rPr>
  </w:style>
  <w:style w:type="character" w:customStyle="1" w:styleId="47">
    <w:name w:val="正文文本 字符"/>
    <w:basedOn w:val="25"/>
    <w:link w:val="10"/>
    <w:uiPriority w:val="1"/>
    <w:rPr>
      <w:rFonts w:ascii="微软雅黑" w:hAnsi="微软雅黑" w:eastAsia="微软雅黑" w:cs="微软雅黑"/>
      <w:sz w:val="28"/>
      <w:szCs w:val="28"/>
      <w:lang w:val="zh-CN" w:bidi="zh-CN"/>
    </w:rPr>
  </w:style>
  <w:style w:type="character" w:customStyle="1" w:styleId="48">
    <w:name w:val="font11"/>
    <w:basedOn w:val="25"/>
    <w:qFormat/>
    <w:uiPriority w:val="0"/>
    <w:rPr>
      <w:rFonts w:hint="eastAsia" w:ascii="仿宋" w:hAnsi="仿宋" w:eastAsia="仿宋" w:cs="仿宋"/>
      <w:b/>
      <w:color w:val="000000"/>
      <w:sz w:val="24"/>
      <w:szCs w:val="24"/>
      <w:u w:val="none"/>
    </w:rPr>
  </w:style>
  <w:style w:type="character" w:customStyle="1" w:styleId="49">
    <w:name w:val="font31"/>
    <w:basedOn w:val="2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2794</Words>
  <Characters>15928</Characters>
  <Lines>132</Lines>
  <Paragraphs>37</Paragraphs>
  <TotalTime>2</TotalTime>
  <ScaleCrop>false</ScaleCrop>
  <LinksUpToDate>false</LinksUpToDate>
  <CharactersWithSpaces>18685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2019-04-28T01:04:00Z</dcterms:created>
  <dc:creator>Administrator</dc:creator>
  <cp:lastModifiedBy>Administrator</cp:lastModifiedBy>
  <dcterms:modified xsi:type="dcterms:W3CDTF">2019-04-29T03:48:38Z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