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</w:rPr>
        <w:t>关于</w:t>
      </w:r>
      <w:r>
        <w:rPr>
          <w:rFonts w:hint="eastAsia"/>
          <w:b w:val="0"/>
          <w:bCs/>
          <w:sz w:val="44"/>
          <w:szCs w:val="44"/>
          <w:lang w:eastAsia="zh-CN"/>
        </w:rPr>
        <w:t>开展学院</w:t>
      </w:r>
      <w:r>
        <w:rPr>
          <w:rFonts w:hint="eastAsia"/>
          <w:b w:val="0"/>
          <w:bCs/>
          <w:sz w:val="44"/>
          <w:szCs w:val="44"/>
          <w:lang w:val="en-US" w:eastAsia="zh-CN"/>
        </w:rPr>
        <w:t>2022年度</w:t>
      </w:r>
      <w:r>
        <w:rPr>
          <w:rFonts w:hint="eastAsia"/>
          <w:b w:val="0"/>
          <w:bCs/>
          <w:sz w:val="44"/>
          <w:szCs w:val="44"/>
        </w:rPr>
        <w:t>省级</w:t>
      </w:r>
      <w:r>
        <w:rPr>
          <w:rFonts w:hint="eastAsia"/>
          <w:b w:val="0"/>
          <w:bCs/>
          <w:sz w:val="44"/>
          <w:szCs w:val="44"/>
          <w:lang w:eastAsia="zh-CN"/>
        </w:rPr>
        <w:t>质量工程（非课程类）项目</w:t>
      </w:r>
      <w:r>
        <w:rPr>
          <w:rFonts w:hint="eastAsia"/>
          <w:b w:val="0"/>
          <w:bCs/>
          <w:sz w:val="44"/>
          <w:szCs w:val="44"/>
        </w:rPr>
        <w:t>检查验收</w:t>
      </w:r>
      <w:r>
        <w:rPr>
          <w:rFonts w:hint="eastAsia"/>
          <w:b w:val="0"/>
          <w:bCs/>
          <w:sz w:val="44"/>
          <w:szCs w:val="44"/>
          <w:lang w:eastAsia="zh-CN"/>
        </w:rPr>
        <w:t>工作</w:t>
      </w:r>
      <w:r>
        <w:rPr>
          <w:rFonts w:hint="eastAsia"/>
          <w:b w:val="0"/>
          <w:bCs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各二级院系：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textAlignment w:val="auto"/>
        <w:rPr>
          <w:rStyle w:val="6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根据《安徽省教育厅关于对高等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质量工程项目进行年度检查验收的通知》（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皖教秘高〔2022〕34 号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）等文件要求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eastAsia="zh-CN"/>
        </w:rPr>
        <w:t>结合我院教科研工作实际，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</w:rPr>
        <w:t>决定对我院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eastAsia="zh-CN"/>
        </w:rPr>
        <w:t>省级教科研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</w:rPr>
        <w:t>项目进行年度检查验收，现就有关事项通知如下：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</w:t>
      </w:r>
      <w:r>
        <w:rPr>
          <w:rStyle w:val="6"/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</w:rPr>
        <w:t>一、年度检查验收范围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textAlignment w:val="auto"/>
        <w:rPr>
          <w:rFonts w:hint="eastAsia" w:ascii="仿宋_GB2312" w:hAnsi="仿宋_GB2312" w:eastAsia="仿宋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1.2015年以来立项且未结题的省级质量工程项目、省级振兴计划部分项目等，分为课程建设类和非课程建设类两个模块。课程建设类包括线上课程、线下课程、线上线下混合式和社会实践课程、虚拟仿真实验教学课程、课程思政示范课程、大规模在线开放课程（MOOC）示范项目等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>此类项目委托中国科大数字图书馆组织专门检查验收，时间另行通知；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非课程建设类项目包括一流专业、一流师资、实验与实践教学、教育教学改革研究、大学生创新创业训练计划、课程思政建设项目、高等学校区块链技术创新应用计划和线上教学工作特需项目等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二、年度检查验收内容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1.本次检查验收工作以院系为基本单位，行政部门兼课教师由业务归属院系进行检查验收，对所有到期项目实施结题验收，其他未到期项目开展阶段检查。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2.请相关老师严格按照文件要求，认真填写检查验收材料，并于3月15日9:00前将检查验收材料上传至教科研项目管理系统（http://202.38.95.119/AnEduPlatProjManage/Account/Main/index?App=13849），其中，阶段检查：省级项目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→中期检查→中检提交；结题验收：省级项目→项目验收→验收提交。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3.请各院系务必严把审核关，安排专人于3月15日下班前登陆教科研项目管理系统（http://202.38.95.119/AnEduPlatProjManage/Account/Main/index?App=13849）进行院系层面审核，审核无误后，提交至学院层面审核。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三、注意事项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.请各院系高度重视，加强审核，明确责任，认真组织对各类项目进行检查和验收，正常到期项目应按期结题验收，因故不能按时结题的，可申请延期一年结题。申请延期的项目需提出延期申请，说明延期理由和项目推进计划；已批准延期一年的结题而未结题的项目，一律做撤项处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2.学院将从检查验收评审结果中择优推荐3-5个先进典型材料报送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安徽省质量工程建设办公室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2238" w:leftChars="304" w:right="0" w:rightChars="0" w:hanging="1600" w:hangingChars="5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附件：1.2015年以来学院未结题的省级教科研项目检查 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0" w:rightChars="0" w:firstLine="1920" w:firstLineChars="6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验收情况汇总表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0" w:rightChars="0" w:firstLine="1600" w:firstLineChars="5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2.省级质量工程项目检查验收材料模板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0" w:rightChars="0" w:firstLine="6080" w:firstLineChars="19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0" w:rightChars="0" w:firstLine="6080" w:firstLineChars="19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院教务处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right="0" w:rightChars="0" w:firstLine="5440" w:firstLineChars="17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2022年3月1日</w:t>
      </w:r>
    </w:p>
    <w:sectPr>
      <w:pgSz w:w="11906" w:h="16838"/>
      <w:pgMar w:top="1474" w:right="1417" w:bottom="147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406F9"/>
    <w:rsid w:val="03382AE8"/>
    <w:rsid w:val="04FD0674"/>
    <w:rsid w:val="05575C85"/>
    <w:rsid w:val="064C25F6"/>
    <w:rsid w:val="06530D7C"/>
    <w:rsid w:val="079D3948"/>
    <w:rsid w:val="08083B72"/>
    <w:rsid w:val="0A2412A1"/>
    <w:rsid w:val="0B072B81"/>
    <w:rsid w:val="0BC422D9"/>
    <w:rsid w:val="0FA37621"/>
    <w:rsid w:val="10750345"/>
    <w:rsid w:val="128073CD"/>
    <w:rsid w:val="14B3378C"/>
    <w:rsid w:val="16CB3DD1"/>
    <w:rsid w:val="174767D5"/>
    <w:rsid w:val="183D1A64"/>
    <w:rsid w:val="1A2F01C1"/>
    <w:rsid w:val="1B75051C"/>
    <w:rsid w:val="1B8A2B8C"/>
    <w:rsid w:val="1DF301EF"/>
    <w:rsid w:val="1EC71F98"/>
    <w:rsid w:val="1F592932"/>
    <w:rsid w:val="20B96AC4"/>
    <w:rsid w:val="20D677F3"/>
    <w:rsid w:val="20E56E54"/>
    <w:rsid w:val="237042A9"/>
    <w:rsid w:val="27843F2B"/>
    <w:rsid w:val="2A510CAB"/>
    <w:rsid w:val="2DAC1E20"/>
    <w:rsid w:val="2E5B1038"/>
    <w:rsid w:val="2F5406F9"/>
    <w:rsid w:val="318E60C0"/>
    <w:rsid w:val="32DF0442"/>
    <w:rsid w:val="3750508C"/>
    <w:rsid w:val="37B2620C"/>
    <w:rsid w:val="389C7538"/>
    <w:rsid w:val="39150586"/>
    <w:rsid w:val="39372FAC"/>
    <w:rsid w:val="39A41171"/>
    <w:rsid w:val="3A2F65F1"/>
    <w:rsid w:val="3C7F4F8B"/>
    <w:rsid w:val="3D185AF9"/>
    <w:rsid w:val="46FE6106"/>
    <w:rsid w:val="48062091"/>
    <w:rsid w:val="48425866"/>
    <w:rsid w:val="49F349B5"/>
    <w:rsid w:val="4A3F0810"/>
    <w:rsid w:val="4AE971B2"/>
    <w:rsid w:val="4AEC5AFE"/>
    <w:rsid w:val="4B0E3C3C"/>
    <w:rsid w:val="4E385887"/>
    <w:rsid w:val="509648CC"/>
    <w:rsid w:val="525C19B5"/>
    <w:rsid w:val="57F35B33"/>
    <w:rsid w:val="5C7C4A59"/>
    <w:rsid w:val="5DAE7B31"/>
    <w:rsid w:val="608C7BB8"/>
    <w:rsid w:val="6863530F"/>
    <w:rsid w:val="699F3D7B"/>
    <w:rsid w:val="69EC6D9D"/>
    <w:rsid w:val="6D226758"/>
    <w:rsid w:val="72DA15D4"/>
    <w:rsid w:val="73A51F1B"/>
    <w:rsid w:val="74085B0D"/>
    <w:rsid w:val="749A3904"/>
    <w:rsid w:val="759114DB"/>
    <w:rsid w:val="7670262E"/>
    <w:rsid w:val="7885469D"/>
    <w:rsid w:val="7A324DA2"/>
    <w:rsid w:val="7B496277"/>
    <w:rsid w:val="7CD251FB"/>
    <w:rsid w:val="7D6A4238"/>
    <w:rsid w:val="7E2314D2"/>
    <w:rsid w:val="7E707654"/>
    <w:rsid w:val="7F8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  <w:rPr>
      <w:sz w:val="32"/>
      <w:szCs w:val="21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 Char"/>
    <w:basedOn w:val="1"/>
    <w:link w:val="4"/>
    <w:qFormat/>
    <w:uiPriority w:val="0"/>
    <w:rPr>
      <w:sz w:val="32"/>
      <w:szCs w:val="21"/>
    </w:rPr>
  </w:style>
  <w:style w:type="character" w:styleId="6">
    <w:name w:val="Strong"/>
    <w:basedOn w:val="4"/>
    <w:qFormat/>
    <w:uiPriority w:val="0"/>
    <w:rPr>
      <w:b/>
    </w:r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line="48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2021-03-17T01:07:00Z</dcterms:created>
  <dc:creator>vivian</dc:creator>
  <cp:lastModifiedBy>test2</cp:lastModifiedBy>
  <cp:lastPrinted>2022-03-01T07:55:00Z</cp:lastPrinted>
  <dcterms:modified xsi:type="dcterms:W3CDTF">2022-03-01T08:42:35Z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98E5CBCD7D8947D3AFD0161C91A0594B</vt:lpwstr>
  </property>
</Properties>
</file>